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footer1.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6.xml" ContentType="application/vnd.openxmlformats-officedocument.wordprocessingml.footer+xml"/>
  <Default Extension="jpg" ContentType="image/jpeg"/>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footer5.xml" ContentType="application/vnd.openxmlformats-officedocument.wordprocessingml.footer+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R1667703E" Type="http://schemas.openxmlformats.org/officeDocument/2006/relationships/officeDocument" /><Relationship Target="docProps/core.xml" Id="R31BC574E" Type="http://schemas.openxmlformats.org/package/2006/relationships/metadata/core-properties" /></Relationships>
</file>

<file path=word/document.xml><?xml version="1.0" encoding="utf-8"?>
<w:document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body>
    <w:p>
      <w:pPr>
        <w:spacing w:before="0" w:after="0" w:line="259" w:lineRule="auto"/>
        <w:ind w:left="0" w:right="9156" w:firstLine="0"/>
        <w:jc w:val="right"/>
      </w:pPr>
      <w:r>
        <w:rPr>
          <w:rFonts w:cs="Times New Roman" w:hAnsi="Times New Roman" w:eastAsia="Times New Roman" w:ascii="Times New Roman"/>
        </w:rPr>
        <w:t xml:space="preserve"> </w:t>
      </w:r>
    </w:p>
    <w:p>
      <w:pPr>
        <w:spacing w:before="0" w:after="0" w:line="259" w:lineRule="auto"/>
        <w:ind w:left="0" w:right="152" w:firstLine="0"/>
        <w:jc w:val="left"/>
      </w:pPr>
      <w:r>
        <w:rPr>
          <w:rFonts w:cs="Times New Roman" w:hAnsi="Times New Roman" w:eastAsia="Times New Roman" w:ascii="Times New Roman"/>
        </w:rPr>
        <w:t xml:space="preserve"> </w:t>
      </w:r>
    </w:p>
    <w:tbl>
      <w:tblPr>
        <w:tblStyle w:val="TableGrid"/>
        <w:tblW w:w="8683" w:type="dxa"/>
        <w:tblInd w:w="524" w:type="dxa"/>
        <w:tblCellMar>
          <w:top w:w="37" w:type="dxa"/>
          <w:left w:w="52" w:type="dxa"/>
          <w:bottom w:w="0" w:type="dxa"/>
          <w:right w:w="115" w:type="dxa"/>
        </w:tblCellMar>
      </w:tblPr>
      <w:tblGrid>
        <w:gridCol w:w="8683"/>
      </w:tblGrid>
      <w:tr>
        <w:trPr>
          <w:trHeight w:val="12196" w:hRule="atLeast"/>
        </w:trPr>
        <w:tc>
          <w:tcPr>
            <w:tcW w:w="8683" w:type="dxa"/>
            <w:tcBorders>
              <w:top w:val="double" w:sz="6" w:color="000000"/>
              <w:left w:val="double" w:sz="6" w:color="000000"/>
              <w:bottom w:val="double" w:sz="6" w:color="000000"/>
              <w:right w:val="double" w:sz="6" w:color="000000"/>
            </w:tcBorders>
            <w:vAlign w:val="top"/>
          </w:tcPr>
          <w:p>
            <w:pPr>
              <w:spacing w:before="0" w:after="0" w:line="259" w:lineRule="auto"/>
              <w:ind w:left="0" w:firstLine="0"/>
              <w:jc w:val="left"/>
            </w:pPr>
            <w:r>
              <w:rPr>
                <w:rFonts w:cs="Times New Roman" w:hAnsi="Times New Roman" w:eastAsia="Times New Roman" w:ascii="Times New Roman"/>
                <w:b w:val="1"/>
                <w:sz w:val="36"/>
              </w:rPr>
              <w:t xml:space="preserve"> </w:t>
            </w:r>
          </w:p>
          <w:p>
            <w:pPr>
              <w:spacing w:before="0" w:after="173" w:line="259" w:lineRule="auto"/>
              <w:ind w:left="0" w:right="218" w:firstLine="0"/>
              <w:jc w:val="center"/>
            </w:pPr>
            <w:r>
              <w:rPr>
                <w:rFonts w:cs="Times New Roman" w:hAnsi="Times New Roman" w:eastAsia="Times New Roman" w:ascii="Times New Roman"/>
                <w:b w:val="1"/>
                <w:sz w:val="36"/>
              </w:rPr>
              <w:t xml:space="preserve"> </w:t>
            </w:r>
          </w:p>
          <w:p>
            <w:pPr>
              <w:spacing w:before="0" w:after="0" w:line="259" w:lineRule="auto"/>
              <w:ind w:left="365" w:firstLine="0"/>
              <w:jc w:val="left"/>
            </w:pPr>
            <w:r>
              <w:rPr>
                <w:rFonts w:cs="Courier New" w:hAnsi="Courier New" w:eastAsia="Courier New" w:ascii="Courier New"/>
                <w:b w:val="1"/>
                <w:sz w:val="56"/>
              </w:rPr>
              <w:t xml:space="preserve">  </w:t>
            </w:r>
            <w:r>
              <w:rPr>
                <w:rFonts w:cs="Arial" w:hAnsi="Arial" w:eastAsia="Arial" w:ascii="Arial"/>
                <w:b w:val="1"/>
                <w:sz w:val="56"/>
              </w:rPr>
              <w:t xml:space="preserve">Actors’ Equity Association </w:t>
            </w:r>
          </w:p>
          <w:p>
            <w:pPr>
              <w:spacing w:before="0" w:after="0" w:line="259" w:lineRule="auto"/>
              <w:ind w:left="0" w:right="242" w:firstLine="0"/>
              <w:jc w:val="center"/>
            </w:pPr>
            <w:r>
              <w:rPr/>
              <w:t xml:space="preserve"> </w:t>
            </w:r>
          </w:p>
          <w:p>
            <w:pPr>
              <w:spacing w:before="0" w:after="0" w:line="259" w:lineRule="auto"/>
              <w:ind w:left="0" w:right="242" w:firstLine="0"/>
              <w:jc w:val="center"/>
            </w:pPr>
            <w:r>
              <w:rPr/>
              <w:t xml:space="preserve"> </w:t>
            </w:r>
          </w:p>
          <w:p>
            <w:pPr>
              <w:spacing w:before="0" w:after="0" w:line="259" w:lineRule="auto"/>
              <w:ind w:left="0" w:right="242" w:firstLine="0"/>
              <w:jc w:val="center"/>
            </w:pPr>
            <w:r>
              <w:drawing>
                <wp:inline distT="0" distB="0" distL="0" distR="0">
                  <wp:extent cx="914400" cy="1079754"/>
                  <wp:effectExtent l="0" t="0" r="0" b="0"/>
                  <wp:docPr id="63" name="Picture 63"/>
                  <wp:cNvGraphicFramePr/>
                  <a:graphic>
                    <a:graphicData uri="http://schemas.openxmlformats.org/drawingml/2006/picture">
                      <pic:pic xmlns:pic="http://schemas.openxmlformats.org/drawingml/2006/picture">
                        <pic:nvPicPr>
                          <pic:cNvPr id="63" name="Picture 63"/>
                          <pic:cNvPicPr/>
                        </pic:nvPicPr>
                        <pic:blipFill>
                          <a:blip r:embed="rId7"/>
                          <a:stretch>
                            <a:fillRect/>
                          </a:stretch>
                        </pic:blipFill>
                        <pic:spPr>
                          <a:xfrm>
                            <a:off x="0" y="0"/>
                            <a:ext cx="914400" cy="1079754"/>
                          </a:xfrm>
                          <a:prstGeom prst="rect">
                            <a:avLst/>
                          </a:prstGeom>
                        </pic:spPr>
                      </pic:pic>
                    </a:graphicData>
                  </a:graphic>
                </wp:inline>
              </w:drawing>
            </w:r>
            <w:r>
              <w:rPr/>
              <w:t xml:space="preserve"> </w:t>
            </w:r>
          </w:p>
          <w:p>
            <w:pPr>
              <w:spacing w:before="0" w:after="618" w:line="259" w:lineRule="auto"/>
              <w:ind w:left="0" w:right="242" w:firstLine="0"/>
              <w:jc w:val="center"/>
            </w:pPr>
            <w:r>
              <w:rPr/>
              <w:t xml:space="preserve"> </w:t>
            </w:r>
          </w:p>
          <w:p>
            <w:pPr>
              <w:spacing w:before="0" w:after="346" w:line="259" w:lineRule="auto"/>
              <w:ind w:left="0" w:right="306" w:firstLine="0"/>
              <w:jc w:val="center"/>
            </w:pPr>
            <w:r>
              <w:rPr>
                <w:rFonts w:cs="Arial" w:hAnsi="Arial" w:eastAsia="Arial" w:ascii="Arial"/>
                <w:b w:val="1"/>
                <w:sz w:val="40"/>
              </w:rPr>
              <w:t xml:space="preserve">BASIC SHOWCASE CODE </w:t>
            </w:r>
          </w:p>
          <w:p>
            <w:pPr>
              <w:spacing w:before="0" w:after="0" w:line="259" w:lineRule="auto"/>
              <w:ind w:left="0" w:right="307" w:firstLine="0"/>
              <w:jc w:val="center"/>
            </w:pPr>
            <w:r>
              <w:rPr>
                <w:rFonts w:cs="Arial" w:hAnsi="Arial" w:eastAsia="Arial" w:ascii="Arial"/>
                <w:b w:val="1"/>
                <w:sz w:val="28"/>
              </w:rPr>
              <w:t xml:space="preserve">(New York City) </w:t>
            </w:r>
          </w:p>
          <w:p>
            <w:pPr>
              <w:spacing w:before="0" w:after="819" w:line="259" w:lineRule="auto"/>
              <w:ind w:left="0" w:right="242" w:firstLine="0"/>
              <w:jc w:val="center"/>
            </w:pPr>
            <w:r>
              <w:rPr/>
              <w:t xml:space="preserve"> </w:t>
            </w:r>
          </w:p>
          <w:p>
            <w:pPr>
              <w:spacing w:before="0" w:after="386" w:line="259" w:lineRule="auto"/>
              <w:ind w:left="0" w:right="307" w:firstLine="0"/>
              <w:jc w:val="center"/>
            </w:pPr>
            <w:r>
              <w:rPr>
                <w:rFonts w:cs="Arial" w:hAnsi="Arial" w:eastAsia="Arial" w:ascii="Arial"/>
                <w:b w:val="1"/>
                <w:sz w:val="32"/>
              </w:rPr>
              <w:t xml:space="preserve">Effective January 22, 2018 </w:t>
            </w:r>
          </w:p>
          <w:p>
            <w:pPr>
              <w:spacing w:before="0" w:after="102" w:line="259" w:lineRule="auto"/>
              <w:ind w:left="0" w:right="177" w:firstLine="0"/>
              <w:jc w:val="center"/>
            </w:pPr>
            <w:r>
              <w:rPr/>
              <w:t xml:space="preserve">  </w:t>
            </w:r>
          </w:p>
          <w:p>
            <w:pPr>
              <w:spacing w:before="0" w:after="0" w:line="259" w:lineRule="auto"/>
              <w:ind w:left="0" w:right="308" w:firstLine="0"/>
              <w:jc w:val="center"/>
            </w:pPr>
            <w:r>
              <w:rPr>
                <w:rFonts w:cs="Arial" w:hAnsi="Arial" w:eastAsia="Arial" w:ascii="Arial"/>
                <w:b w:val="1"/>
                <w:sz w:val="32"/>
              </w:rPr>
              <w:t xml:space="preserve">NATIONAL OFFICE</w:t>
            </w:r>
            <w:r>
              <w:rPr>
                <w:sz w:val="32"/>
              </w:rPr>
              <w:t xml:space="preserve"> </w:t>
            </w:r>
          </w:p>
          <w:p>
            <w:pPr>
              <w:spacing w:before="0" w:after="21" w:line="259" w:lineRule="auto"/>
              <w:ind w:left="0" w:right="309" w:firstLine="0"/>
              <w:jc w:val="center"/>
            </w:pPr>
            <w:r>
              <w:rPr>
                <w:sz w:val="32"/>
              </w:rPr>
              <w:t xml:space="preserve">165 West 46</w:t>
            </w:r>
            <w:r>
              <w:rPr>
                <w:sz w:val="32"/>
                <w:vertAlign w:val="superscript"/>
              </w:rPr>
              <w:t xml:space="preserve">th</w:t>
            </w:r>
            <w:r>
              <w:rPr>
                <w:sz w:val="32"/>
              </w:rPr>
              <w:t xml:space="preserve"> Street </w:t>
            </w:r>
          </w:p>
          <w:p>
            <w:pPr>
              <w:spacing w:before="0" w:after="0" w:line="259" w:lineRule="auto"/>
              <w:ind w:left="0" w:right="308" w:firstLine="0"/>
              <w:jc w:val="center"/>
            </w:pPr>
            <w:r>
              <w:rPr>
                <w:sz w:val="32"/>
              </w:rPr>
              <w:t xml:space="preserve">New York, NY  10036 </w:t>
            </w:r>
          </w:p>
          <w:p>
            <w:pPr>
              <w:spacing w:before="0" w:after="0" w:line="247" w:lineRule="auto"/>
              <w:ind w:left="2629" w:right="2311" w:firstLine="710"/>
              <w:jc w:val="left"/>
            </w:pPr>
            <w:r>
              <w:rPr>
                <w:sz w:val="32"/>
              </w:rPr>
              <w:t xml:space="preserve"> (212) 869-8530 </w:t>
            </w:r>
            <w:r>
              <w:rPr>
                <w:sz w:val="32"/>
              </w:rPr>
              <w:t xml:space="preserve">Fax   (212) 719-9815 </w:t>
            </w:r>
          </w:p>
          <w:p>
            <w:pPr>
              <w:spacing w:before="0" w:after="0" w:line="259" w:lineRule="auto"/>
              <w:ind w:left="0" w:right="219" w:firstLine="0"/>
              <w:jc w:val="center"/>
            </w:pPr>
            <w:r>
              <w:rPr>
                <w:sz w:val="32"/>
              </w:rPr>
              <w:t xml:space="preserve"> </w:t>
            </w:r>
          </w:p>
          <w:p>
            <w:pPr>
              <w:spacing w:before="0" w:after="0" w:line="259" w:lineRule="auto"/>
              <w:ind w:left="0" w:right="219" w:firstLine="0"/>
              <w:jc w:val="center"/>
            </w:pPr>
            <w:r>
              <w:rPr>
                <w:sz w:val="32"/>
              </w:rPr>
              <w:t xml:space="preserve"> </w:t>
            </w:r>
          </w:p>
          <w:p>
            <w:pPr>
              <w:spacing w:before="0" w:after="0" w:line="259" w:lineRule="auto"/>
              <w:ind w:left="0" w:right="219" w:firstLine="0"/>
              <w:jc w:val="center"/>
            </w:pPr>
            <w:r>
              <w:rPr>
                <w:sz w:val="32"/>
              </w:rPr>
              <w:t xml:space="preserve"> </w:t>
            </w:r>
          </w:p>
          <w:p>
            <w:pPr>
              <w:spacing w:before="0" w:after="0" w:line="259" w:lineRule="auto"/>
              <w:ind w:left="0" w:right="219" w:firstLine="0"/>
              <w:jc w:val="center"/>
            </w:pPr>
            <w:r>
              <w:rPr>
                <w:sz w:val="32"/>
              </w:rPr>
              <w:t xml:space="preserve"> </w:t>
            </w:r>
          </w:p>
          <w:p>
            <w:pPr>
              <w:spacing w:before="0" w:after="0" w:line="259" w:lineRule="auto"/>
              <w:ind w:left="0" w:right="219" w:firstLine="0"/>
              <w:jc w:val="center"/>
            </w:pPr>
            <w:r>
              <w:rPr>
                <w:sz w:val="32"/>
              </w:rPr>
              <w:t xml:space="preserve"> </w:t>
            </w:r>
          </w:p>
          <w:p>
            <w:pPr>
              <w:spacing w:before="0" w:after="0" w:line="259" w:lineRule="auto"/>
              <w:ind w:left="0" w:right="308" w:firstLine="0"/>
              <w:jc w:val="center"/>
            </w:pPr>
            <w:r>
              <w:rPr>
                <w:rFonts w:cs="Arial" w:hAnsi="Arial" w:eastAsia="Arial" w:ascii="Arial"/>
                <w:b w:val="1"/>
                <w:sz w:val="32"/>
              </w:rPr>
              <w:t xml:space="preserve">www.actorsequity.org </w:t>
            </w:r>
          </w:p>
        </w:tc>
      </w:tr>
    </w:tbl>
    <w:p>
      <w:pPr>
        <w:spacing w:before="0" w:after="0" w:line="259" w:lineRule="auto"/>
        <w:ind w:left="360" w:firstLine="0"/>
      </w:pPr>
      <w:r>
        <w:rPr/>
        <w:t xml:space="preserve"> </w:t>
      </w:r>
    </w:p>
    <w:p>
      <w:pPr>
        <w:sectPr>
          <w:footerReference w:type="even" r:id="rId3"/>
          <w:footerReference w:type="default" r:id="rId2"/>
          <w:footerReference w:type="first" r:id="rId1"/>
          <w:pgSz w:w="12240" w:h="15840" w:orient="portrait"/>
          <w:pgMar w:left="1440" w:top="1440" w:right="1440" w:bottom="1440"/>
          <w:cols/>
        </w:sectPr>
      </w:pPr>
    </w:p>
    <w:p>
      <w:pPr>
        <w:spacing w:before="0" w:after="125" w:line="259" w:lineRule="auto"/>
        <w:ind w:left="10" w:right="4"/>
        <w:jc w:val="center"/>
      </w:pPr>
      <w:r>
        <w:rPr>
          <w:rFonts w:cs="Arial" w:hAnsi="Arial" w:eastAsia="Arial" w:ascii="Arial"/>
          <w:b w:val="1"/>
          <w:sz w:val="28"/>
        </w:rPr>
        <w:t xml:space="preserve">AEA SHOWCASE CODE </w:t>
      </w:r>
    </w:p>
    <w:p>
      <w:pPr>
        <w:spacing w:before="0" w:after="206" w:line="259" w:lineRule="auto"/>
        <w:ind w:left="0" w:firstLine="0"/>
        <w:jc w:val="left"/>
      </w:pPr>
      <w:r>
        <w:rPr/>
        <w:t xml:space="preserve"> </w:t>
      </w:r>
    </w:p>
    <w:sdt>
      <w:sdtPr>
        <w:docPartObj>
          <w:docPartGallery w:val="Table of Contents"/>
        </w:docPartObj>
      </w:sdtPr>
      <w:sdtContent>
        <w:p>
          <w:pPr>
            <w:spacing w:before="0" w:after="125" w:line="259" w:lineRule="auto"/>
            <w:ind w:left="10" w:right="2"/>
            <w:jc w:val="center"/>
          </w:pPr>
          <w:r>
            <w:rPr>
              <w:rFonts w:cs="Arial" w:hAnsi="Arial" w:eastAsia="Arial" w:ascii="Arial"/>
              <w:b w:val="1"/>
              <w:sz w:val="28"/>
            </w:rPr>
            <w:t xml:space="preserve">TABLE OF CONTENTS </w:t>
          </w:r>
        </w:p>
        <w:p>
          <w:pPr>
            <w:spacing w:before="0" w:after="47" w:line="259" w:lineRule="auto"/>
            <w:ind w:left="0" w:firstLine="0"/>
            <w:jc w:val="left"/>
          </w:pPr>
          <w:r>
            <w:rPr/>
            <w:t xml:space="preserve"> </w:t>
          </w:r>
        </w:p>
        <w:p>
          <w:pPr>
            <w:pStyle w:val="TOC1"/>
            <w:tabs>
              <w:tab w:leader="dot" w:val="end" w:pos="9650"/>
            </w:tabs>
          </w:pPr>
          <w:r>
            <w:fldChar w:fldCharType="begin"/>
          </w:r>
          <w:r>
            <w:instrText xml:space="preserve"> TOC \o "1-1" \h \z \u </w:instrText>
          </w:r>
          <w:r>
            <w:fldChar w:fldCharType="separate"/>
          </w:r>
          <w:hyperlink w:anchor="_Toc8985">
            <w:r>
              <w:rPr/>
              <w:t xml:space="preserve">1. SHOWCASE CODE:  QUALIFICATIONS AND LIMITATIONS</w:t>
            </w:r>
            <w:r>
              <w:tab/>
            </w:r>
            <w:r>
              <w:fldChar w:fldCharType="begin"/>
            </w:r>
            <w:r>
              <w:instrText> PAGEREF _Toc8985 \h </w:instrText>
            </w:r>
            <w:r>
              <w:fldChar w:fldCharType="separate"/>
            </w:r>
            <w:r>
              <w:rPr>
                <w:rFonts w:cs="Arial" w:hAnsi="Arial" w:eastAsia="Arial" w:ascii="Arial"/>
                <w:color w:val="000000"/>
                <w:sz w:val="24"/>
              </w:rPr>
              <w:t xml:space="preserve">2 </w:t>
            </w:r>
            <w:r>
              <w:fldChar w:fldCharType="end"/>
            </w:r>
          </w:hyperlink>
        </w:p>
        <w:p>
          <w:pPr>
            <w:pStyle w:val="TOC1"/>
            <w:tabs>
              <w:tab w:leader="dot" w:val="end" w:pos="9650"/>
            </w:tabs>
          </w:pPr>
          <w:hyperlink w:anchor="_Toc8986">
            <w:r>
              <w:rPr/>
              <w:t xml:space="preserve">2. DEFINITIONS &amp; REFERENCES</w:t>
            </w:r>
            <w:r>
              <w:tab/>
            </w:r>
            <w:r>
              <w:fldChar w:fldCharType="begin"/>
            </w:r>
            <w:r>
              <w:instrText> PAGEREF _Toc8986 \h </w:instrText>
            </w:r>
            <w:r>
              <w:fldChar w:fldCharType="separate"/>
            </w:r>
            <w:r>
              <w:rPr>
                <w:rFonts w:cs="Arial" w:hAnsi="Arial" w:eastAsia="Arial" w:ascii="Arial"/>
                <w:color w:val="000000"/>
                <w:sz w:val="24"/>
              </w:rPr>
              <w:t xml:space="preserve">2 </w:t>
            </w:r>
            <w:r>
              <w:fldChar w:fldCharType="end"/>
            </w:r>
          </w:hyperlink>
        </w:p>
        <w:p>
          <w:pPr>
            <w:pStyle w:val="TOC1"/>
            <w:tabs>
              <w:tab w:leader="dot" w:val="end" w:pos="9650"/>
            </w:tabs>
          </w:pPr>
          <w:hyperlink w:anchor="_Toc8987">
            <w:r>
              <w:rPr/>
              <w:t xml:space="preserve">3. REGISTRATION/REQUIREMENTS</w:t>
            </w:r>
            <w:r>
              <w:tab/>
            </w:r>
            <w:r>
              <w:fldChar w:fldCharType="begin"/>
            </w:r>
            <w:r>
              <w:instrText> PAGEREF _Toc8987 \h </w:instrText>
            </w:r>
            <w:r>
              <w:fldChar w:fldCharType="separate"/>
            </w:r>
            <w:r>
              <w:rPr>
                <w:rFonts w:cs="Arial" w:hAnsi="Arial" w:eastAsia="Arial" w:ascii="Arial"/>
                <w:color w:val="000000"/>
                <w:sz w:val="24"/>
              </w:rPr>
              <w:t xml:space="preserve">3 </w:t>
            </w:r>
            <w:r>
              <w:fldChar w:fldCharType="end"/>
            </w:r>
          </w:hyperlink>
        </w:p>
        <w:p>
          <w:pPr>
            <w:pStyle w:val="TOC1"/>
            <w:tabs>
              <w:tab w:leader="dot" w:val="end" w:pos="9650"/>
            </w:tabs>
          </w:pPr>
          <w:hyperlink w:anchor="_Toc8988">
            <w:r>
              <w:rPr/>
              <w:t xml:space="preserve">4. GENERAL PROVISIONS</w:t>
            </w:r>
            <w:r>
              <w:tab/>
            </w:r>
            <w:r>
              <w:fldChar w:fldCharType="begin"/>
            </w:r>
            <w:r>
              <w:instrText> PAGEREF _Toc8988 \h </w:instrText>
            </w:r>
            <w:r>
              <w:fldChar w:fldCharType="separate"/>
            </w:r>
            <w:r>
              <w:rPr>
                <w:rFonts w:cs="Arial" w:hAnsi="Arial" w:eastAsia="Arial" w:ascii="Arial"/>
                <w:color w:val="000000"/>
                <w:sz w:val="24"/>
              </w:rPr>
              <w:t xml:space="preserve">4 </w:t>
            </w:r>
            <w:r>
              <w:fldChar w:fldCharType="end"/>
            </w:r>
          </w:hyperlink>
        </w:p>
        <w:p>
          <w:pPr>
            <w:pStyle w:val="TOC1"/>
            <w:tabs>
              <w:tab w:leader="dot" w:val="end" w:pos="9650"/>
            </w:tabs>
          </w:pPr>
          <w:hyperlink w:anchor="_Toc8989">
            <w:r>
              <w:rPr/>
              <w:t xml:space="preserve">5. CASTING</w:t>
            </w:r>
            <w:r>
              <w:tab/>
            </w:r>
            <w:r>
              <w:fldChar w:fldCharType="begin"/>
            </w:r>
            <w:r>
              <w:instrText> PAGEREF _Toc8989 \h </w:instrText>
            </w:r>
            <w:r>
              <w:fldChar w:fldCharType="separate"/>
            </w:r>
            <w:r>
              <w:rPr>
                <w:rFonts w:cs="Arial" w:hAnsi="Arial" w:eastAsia="Arial" w:ascii="Arial"/>
                <w:color w:val="000000"/>
                <w:sz w:val="24"/>
              </w:rPr>
              <w:t xml:space="preserve">4 </w:t>
            </w:r>
            <w:r>
              <w:fldChar w:fldCharType="end"/>
            </w:r>
          </w:hyperlink>
        </w:p>
        <w:p>
          <w:pPr>
            <w:pStyle w:val="TOC1"/>
            <w:tabs>
              <w:tab w:leader="dot" w:val="end" w:pos="9650"/>
            </w:tabs>
          </w:pPr>
          <w:hyperlink w:anchor="_Toc8990">
            <w:r>
              <w:rPr/>
              <w:t xml:space="preserve">6. DISCRIMINATION</w:t>
            </w:r>
            <w:r>
              <w:tab/>
            </w:r>
            <w:r>
              <w:fldChar w:fldCharType="begin"/>
            </w:r>
            <w:r>
              <w:instrText> PAGEREF _Toc8990 \h </w:instrText>
            </w:r>
            <w:r>
              <w:fldChar w:fldCharType="separate"/>
            </w:r>
            <w:r>
              <w:rPr>
                <w:rFonts w:cs="Arial" w:hAnsi="Arial" w:eastAsia="Arial" w:ascii="Arial"/>
                <w:color w:val="000000"/>
                <w:sz w:val="24"/>
              </w:rPr>
              <w:t xml:space="preserve">5 </w:t>
            </w:r>
            <w:r>
              <w:fldChar w:fldCharType="end"/>
            </w:r>
          </w:hyperlink>
        </w:p>
        <w:p>
          <w:pPr>
            <w:pStyle w:val="TOC1"/>
            <w:tabs>
              <w:tab w:leader="dot" w:val="end" w:pos="9650"/>
            </w:tabs>
          </w:pPr>
          <w:hyperlink w:anchor="_Toc8991">
            <w:r>
              <w:rPr/>
              <w:t xml:space="preserve">7. NUDITY</w:t>
            </w:r>
            <w:r>
              <w:tab/>
            </w:r>
            <w:r>
              <w:fldChar w:fldCharType="begin"/>
            </w:r>
            <w:r>
              <w:instrText> PAGEREF _Toc8991 \h </w:instrText>
            </w:r>
            <w:r>
              <w:fldChar w:fldCharType="separate"/>
            </w:r>
            <w:r>
              <w:rPr>
                <w:rFonts w:cs="Arial" w:hAnsi="Arial" w:eastAsia="Arial" w:ascii="Arial"/>
                <w:color w:val="000000"/>
                <w:sz w:val="24"/>
              </w:rPr>
              <w:t xml:space="preserve">5 </w:t>
            </w:r>
            <w:r>
              <w:fldChar w:fldCharType="end"/>
            </w:r>
          </w:hyperlink>
        </w:p>
        <w:p>
          <w:pPr>
            <w:pStyle w:val="TOC1"/>
            <w:tabs>
              <w:tab w:leader="dot" w:val="end" w:pos="9650"/>
            </w:tabs>
          </w:pPr>
          <w:hyperlink w:anchor="_Toc8992">
            <w:r>
              <w:rPr/>
              <w:t xml:space="preserve">8. ACTOR RESPONSIBILITIES</w:t>
            </w:r>
            <w:r>
              <w:tab/>
            </w:r>
            <w:r>
              <w:fldChar w:fldCharType="begin"/>
            </w:r>
            <w:r>
              <w:instrText> PAGEREF _Toc8992 \h </w:instrText>
            </w:r>
            <w:r>
              <w:fldChar w:fldCharType="separate"/>
            </w:r>
            <w:r>
              <w:rPr>
                <w:rFonts w:cs="Arial" w:hAnsi="Arial" w:eastAsia="Arial" w:ascii="Arial"/>
                <w:color w:val="000000"/>
                <w:sz w:val="24"/>
              </w:rPr>
              <w:t xml:space="preserve">6 </w:t>
            </w:r>
            <w:r>
              <w:fldChar w:fldCharType="end"/>
            </w:r>
          </w:hyperlink>
        </w:p>
        <w:p>
          <w:pPr>
            <w:pStyle w:val="TOC1"/>
            <w:tabs>
              <w:tab w:leader="dot" w:val="end" w:pos="9650"/>
            </w:tabs>
          </w:pPr>
          <w:hyperlink w:anchor="_Toc8993">
            <w:r>
              <w:rPr/>
              <w:t xml:space="preserve">9. STAGE MANAGER</w:t>
            </w:r>
            <w:r>
              <w:tab/>
            </w:r>
            <w:r>
              <w:fldChar w:fldCharType="begin"/>
            </w:r>
            <w:r>
              <w:instrText> PAGEREF _Toc8993 \h </w:instrText>
            </w:r>
            <w:r>
              <w:fldChar w:fldCharType="separate"/>
            </w:r>
            <w:r>
              <w:rPr>
                <w:rFonts w:cs="Arial" w:hAnsi="Arial" w:eastAsia="Arial" w:ascii="Arial"/>
                <w:color w:val="000000"/>
                <w:sz w:val="24"/>
              </w:rPr>
              <w:t xml:space="preserve">6 </w:t>
            </w:r>
            <w:r>
              <w:fldChar w:fldCharType="end"/>
            </w:r>
          </w:hyperlink>
        </w:p>
        <w:p>
          <w:pPr>
            <w:pStyle w:val="TOC1"/>
            <w:tabs>
              <w:tab w:leader="dot" w:val="end" w:pos="9650"/>
            </w:tabs>
          </w:pPr>
          <w:hyperlink w:anchor="_Toc8994">
            <w:r>
              <w:rPr/>
              <w:t xml:space="preserve">10. DEPUTIES</w:t>
            </w:r>
            <w:r>
              <w:tab/>
            </w:r>
            <w:r>
              <w:fldChar w:fldCharType="begin"/>
            </w:r>
            <w:r>
              <w:instrText> PAGEREF _Toc8994 \h </w:instrText>
            </w:r>
            <w:r>
              <w:fldChar w:fldCharType="separate"/>
            </w:r>
            <w:r>
              <w:rPr>
                <w:rFonts w:cs="Arial" w:hAnsi="Arial" w:eastAsia="Arial" w:ascii="Arial"/>
                <w:color w:val="000000"/>
                <w:sz w:val="24"/>
              </w:rPr>
              <w:t xml:space="preserve">7 </w:t>
            </w:r>
            <w:r>
              <w:fldChar w:fldCharType="end"/>
            </w:r>
          </w:hyperlink>
        </w:p>
        <w:p>
          <w:pPr>
            <w:pStyle w:val="TOC1"/>
            <w:tabs>
              <w:tab w:leader="dot" w:val="end" w:pos="9650"/>
            </w:tabs>
          </w:pPr>
          <w:hyperlink w:anchor="_Toc8995">
            <w:r>
              <w:rPr/>
              <w:t xml:space="preserve">11. REHEARSAL CONDITIONS</w:t>
            </w:r>
            <w:r>
              <w:tab/>
            </w:r>
            <w:r>
              <w:fldChar w:fldCharType="begin"/>
            </w:r>
            <w:r>
              <w:instrText> PAGEREF _Toc8995 \h </w:instrText>
            </w:r>
            <w:r>
              <w:fldChar w:fldCharType="separate"/>
            </w:r>
            <w:r>
              <w:rPr>
                <w:rFonts w:cs="Arial" w:hAnsi="Arial" w:eastAsia="Arial" w:ascii="Arial"/>
                <w:color w:val="000000"/>
                <w:sz w:val="24"/>
              </w:rPr>
              <w:t xml:space="preserve">7 </w:t>
            </w:r>
            <w:r>
              <w:fldChar w:fldCharType="end"/>
            </w:r>
          </w:hyperlink>
        </w:p>
        <w:p>
          <w:pPr>
            <w:pStyle w:val="TOC1"/>
            <w:tabs>
              <w:tab w:leader="dot" w:val="end" w:pos="9650"/>
            </w:tabs>
          </w:pPr>
          <w:hyperlink w:anchor="_Toc8996">
            <w:r>
              <w:rPr/>
              <w:t xml:space="preserve">12. PRESENTATION CONDITIONS</w:t>
            </w:r>
            <w:r>
              <w:tab/>
            </w:r>
            <w:r>
              <w:fldChar w:fldCharType="begin"/>
            </w:r>
            <w:r>
              <w:instrText> PAGEREF _Toc8996 \h </w:instrText>
            </w:r>
            <w:r>
              <w:fldChar w:fldCharType="separate"/>
            </w:r>
            <w:r>
              <w:rPr>
                <w:rFonts w:cs="Arial" w:hAnsi="Arial" w:eastAsia="Arial" w:ascii="Arial"/>
                <w:color w:val="000000"/>
                <w:sz w:val="24"/>
              </w:rPr>
              <w:t xml:space="preserve">8 </w:t>
            </w:r>
            <w:r>
              <w:fldChar w:fldCharType="end"/>
            </w:r>
          </w:hyperlink>
        </w:p>
        <w:p>
          <w:pPr>
            <w:pStyle w:val="TOC1"/>
            <w:tabs>
              <w:tab w:leader="dot" w:val="end" w:pos="9650"/>
            </w:tabs>
          </w:pPr>
          <w:hyperlink w:anchor="_Toc8997">
            <w:r>
              <w:rPr/>
              <w:t xml:space="preserve">13. SAFE AND SANITARY</w:t>
            </w:r>
            <w:r>
              <w:tab/>
            </w:r>
            <w:r>
              <w:fldChar w:fldCharType="begin"/>
            </w:r>
            <w:r>
              <w:instrText> PAGEREF _Toc8997 \h </w:instrText>
            </w:r>
            <w:r>
              <w:fldChar w:fldCharType="separate"/>
            </w:r>
            <w:r>
              <w:rPr>
                <w:rFonts w:cs="Arial" w:hAnsi="Arial" w:eastAsia="Arial" w:ascii="Arial"/>
                <w:color w:val="000000"/>
                <w:sz w:val="24"/>
              </w:rPr>
              <w:t xml:space="preserve">9 </w:t>
            </w:r>
            <w:r>
              <w:fldChar w:fldCharType="end"/>
            </w:r>
          </w:hyperlink>
        </w:p>
        <w:p>
          <w:pPr>
            <w:pStyle w:val="TOC1"/>
            <w:tabs>
              <w:tab w:leader="dot" w:val="end" w:pos="9650"/>
            </w:tabs>
          </w:pPr>
          <w:hyperlink w:anchor="_Toc8998">
            <w:r>
              <w:rPr/>
              <w:t xml:space="preserve">14. PUBLICITY/ADVERTISING</w:t>
            </w:r>
            <w:r>
              <w:tab/>
            </w:r>
            <w:r>
              <w:fldChar w:fldCharType="begin"/>
            </w:r>
            <w:r>
              <w:instrText> PAGEREF _Toc8998 \h </w:instrText>
            </w:r>
            <w:r>
              <w:fldChar w:fldCharType="separate"/>
            </w:r>
            <w:r>
              <w:rPr>
                <w:rFonts w:cs="Arial" w:hAnsi="Arial" w:eastAsia="Arial" w:ascii="Arial"/>
                <w:color w:val="000000"/>
                <w:sz w:val="24"/>
              </w:rPr>
              <w:t xml:space="preserve">9 </w:t>
            </w:r>
            <w:r>
              <w:fldChar w:fldCharType="end"/>
            </w:r>
          </w:hyperlink>
        </w:p>
        <w:p>
          <w:pPr>
            <w:pStyle w:val="TOC1"/>
            <w:tabs>
              <w:tab w:leader="dot" w:val="end" w:pos="9650"/>
            </w:tabs>
          </w:pPr>
          <w:hyperlink w:anchor="_Toc8999">
            <w:r>
              <w:rPr/>
              <w:t xml:space="preserve">15. TICKETS/“COMPS”</w:t>
            </w:r>
            <w:r>
              <w:tab/>
            </w:r>
            <w:r>
              <w:fldChar w:fldCharType="begin"/>
            </w:r>
            <w:r>
              <w:instrText> PAGEREF _Toc8999 \h </w:instrText>
            </w:r>
            <w:r>
              <w:fldChar w:fldCharType="separate"/>
            </w:r>
            <w:r>
              <w:rPr>
                <w:rFonts w:cs="Arial" w:hAnsi="Arial" w:eastAsia="Arial" w:ascii="Arial"/>
                <w:color w:val="000000"/>
                <w:sz w:val="24"/>
              </w:rPr>
              <w:t xml:space="preserve">10 </w:t>
            </w:r>
            <w:r>
              <w:fldChar w:fldCharType="end"/>
            </w:r>
          </w:hyperlink>
        </w:p>
        <w:p>
          <w:pPr>
            <w:pStyle w:val="TOC1"/>
            <w:tabs>
              <w:tab w:leader="dot" w:val="end" w:pos="9650"/>
            </w:tabs>
          </w:pPr>
          <w:hyperlink w:anchor="_Toc9000">
            <w:r>
              <w:rPr/>
              <w:t xml:space="preserve">16. RIGHTS RESERVED</w:t>
            </w:r>
            <w:r>
              <w:tab/>
            </w:r>
            <w:r>
              <w:fldChar w:fldCharType="begin"/>
            </w:r>
            <w:r>
              <w:instrText> PAGEREF _Toc9000 \h </w:instrText>
            </w:r>
            <w:r>
              <w:fldChar w:fldCharType="separate"/>
            </w:r>
            <w:r>
              <w:rPr>
                <w:rFonts w:cs="Arial" w:hAnsi="Arial" w:eastAsia="Arial" w:ascii="Arial"/>
                <w:color w:val="000000"/>
                <w:sz w:val="24"/>
              </w:rPr>
              <w:t xml:space="preserve">10 </w:t>
            </w:r>
            <w:r>
              <w:fldChar w:fldCharType="end"/>
            </w:r>
          </w:hyperlink>
        </w:p>
        <w:p>
          <w:r>
            <w:fldChar w:fldCharType="end"/>
          </w:r>
        </w:p>
      </w:sdtContent>
    </w:sdt>
    <w:p>
      <w:pPr>
        <w:pStyle w:val="normal"/>
        <w:spacing w:before="0" w:after="111" w:line="253" w:lineRule="auto"/>
      </w:pPr>
      <w:r>
        <w:br w:type="page"/>
      </w:r>
    </w:p>
    <w:p>
      <w:pPr>
        <w:spacing w:before="0" w:after="125" w:line="259" w:lineRule="auto"/>
        <w:ind w:left="10" w:right="2"/>
        <w:jc w:val="center"/>
      </w:pPr>
      <w:r>
        <w:rPr>
          <w:rFonts w:cs="Arial" w:hAnsi="Arial" w:eastAsia="Arial" w:ascii="Arial"/>
          <w:b w:val="1"/>
          <w:sz w:val="28"/>
        </w:rPr>
        <w:t xml:space="preserve"> SHOWCASE CODE </w:t>
      </w:r>
    </w:p>
    <w:p>
      <w:pPr>
        <w:pStyle w:val="normal"/>
        <w:spacing w:before="0" w:after="111" w:line="253" w:lineRule="auto"/>
        <w:ind w:left="10"/>
      </w:pPr>
      <w:r>
        <w:rPr/>
        <w:t xml:space="preserve">An “Equity-Approved Showcase” is a New York City mounted production in which AEA members may participate, without the benefits of a contract, for the purpose of presenting plays and/or scenes in limited performances, under the terms and conditions set herein. Productions may be mounted by individuals, groups of individuals, and/or not-for-profit institutional theatres who have not been prohibited from doing so by contract or prior agreement. Equity Members may not appear in Showcase Code productions presented by Producers on Equity’s Defaulting Employers List.  </w:t>
      </w:r>
    </w:p>
    <w:p>
      <w:pPr>
        <w:pStyle w:val="normal"/>
        <w:spacing w:before="0" w:after="136" w:line="253" w:lineRule="auto"/>
        <w:ind w:left="10"/>
      </w:pPr>
      <w:r>
        <w:rPr/>
        <w:t xml:space="preserve">Actors’ Equity Association (hereinafter referred to as “AEA” or “Equity”) shall have the sole and full authority to determine whether a production qualifies as a Showcase.  Equity permits its members to showcase themselves for industry professionals in such productions and provides a set of rules under which Equity members may participate in the arena generally known as “Off Off Broadway.” </w:t>
      </w:r>
    </w:p>
    <w:p>
      <w:pPr>
        <w:pStyle w:val="heading1"/>
        <w:spacing w:before="0" w:after="125" w:line="259" w:lineRule="auto"/>
        <w:ind w:left="252" w:hanging="267"/>
      </w:pPr>
      <w:bookmarkStart w:id="8985" w:name="_Toc8985"/>
      <w:r>
        <w:rPr/>
        <w:t xml:space="preserve">SHOWCASE CODE:  QUALIFICATIONS AND LIMITATIONS </w:t>
      </w:r>
      <w:bookmarkEnd w:id="8985"/>
    </w:p>
    <w:p>
      <w:pPr>
        <w:pStyle w:val="normal"/>
        <w:spacing w:before="0" w:after="111" w:line="253" w:lineRule="auto"/>
        <w:ind w:left="10"/>
      </w:pPr>
      <w:r>
        <w:rPr/>
        <w:t xml:space="preserve">Upon registration with AEA by the producer, Equity members shall be permitted to participate in Showcase Code productions produced by the following: </w:t>
      </w:r>
    </w:p>
    <w:p>
      <w:pPr>
        <w:pStyle w:val="normal"/>
        <w:numPr>
          <w:ilvl w:val="0"/>
          <w:numId w:val="1"/>
        </w:numPr>
        <w:spacing w:before="0" w:after="111" w:line="253" w:lineRule="auto"/>
        <w:ind w:left="732" w:hanging="387"/>
      </w:pPr>
      <w:r>
        <w:rPr/>
        <w:t xml:space="preserve">“Single-Unit” Producers.  (See also Rule 2(D).)  </w:t>
      </w:r>
    </w:p>
    <w:p>
      <w:pPr>
        <w:pStyle w:val="normal"/>
        <w:numPr>
          <w:ilvl w:val="0"/>
          <w:numId w:val="1"/>
        </w:numPr>
        <w:spacing w:before="0" w:after="111" w:line="253" w:lineRule="auto"/>
        <w:ind w:left="732" w:hanging="387"/>
      </w:pPr>
      <w:r>
        <w:rPr/>
        <w:t xml:space="preserve">Non-Funded Seasonal Producers.  (See also Rule 2(E).)  </w:t>
      </w:r>
    </w:p>
    <w:p>
      <w:pPr>
        <w:pStyle w:val="normal"/>
        <w:numPr>
          <w:ilvl w:val="0"/>
          <w:numId w:val="1"/>
        </w:numPr>
        <w:spacing w:before="0" w:after="111" w:line="253" w:lineRule="auto"/>
        <w:ind w:left="732" w:hanging="387"/>
      </w:pPr>
      <w:r>
        <w:rPr/>
        <w:t xml:space="preserve">Funded Seasonal Producers with an annual gross income LESS than $200,000.  (See also Rule 2(F).) </w:t>
      </w:r>
    </w:p>
    <w:p>
      <w:pPr>
        <w:spacing w:before="0" w:after="125" w:line="259" w:lineRule="auto"/>
        <w:ind w:left="-5"/>
        <w:jc w:val="left"/>
      </w:pPr>
      <w:r>
        <w:rPr>
          <w:rFonts w:cs="Arial" w:hAnsi="Arial" w:eastAsia="Arial" w:ascii="Arial"/>
          <w:b w:val="1"/>
        </w:rPr>
        <w:t xml:space="preserve">Production Conditions: </w:t>
      </w:r>
    </w:p>
    <w:p>
      <w:pPr>
        <w:pStyle w:val="normal"/>
        <w:spacing w:before="0" w:after="111" w:line="253" w:lineRule="auto"/>
        <w:ind w:left="355"/>
      </w:pPr>
      <w:r>
        <w:rPr>
          <w:rFonts w:cs="Arial" w:hAnsi="Arial" w:eastAsia="Arial" w:ascii="Arial"/>
          <w:b w:val="1"/>
        </w:rPr>
        <w:t xml:space="preserve">Budget</w:t>
      </w:r>
      <w:r>
        <w:rPr/>
        <w:t xml:space="preserve">:  Shall not exceed $35,000, exclusive of AEA stipends. </w:t>
      </w:r>
    </w:p>
    <w:p>
      <w:pPr>
        <w:pStyle w:val="normal"/>
        <w:spacing w:before="0" w:after="111" w:line="253" w:lineRule="auto"/>
        <w:ind w:left="355"/>
      </w:pPr>
      <w:r>
        <w:rPr>
          <w:rFonts w:cs="Arial" w:hAnsi="Arial" w:eastAsia="Arial" w:ascii="Arial"/>
          <w:b w:val="1"/>
        </w:rPr>
        <w:t xml:space="preserve">Performances</w:t>
      </w:r>
      <w:r>
        <w:rPr/>
        <w:t xml:space="preserve">:  Up to 12 within four consecutive weeks. At least half of the total number must be presented on a weekday (Monday through Friday) and in no event may there be more than one two-performance day per week.</w:t>
      </w:r>
      <w:r>
        <w:rPr>
          <w:rFonts w:cs="Arial" w:hAnsi="Arial" w:eastAsia="Arial" w:ascii="Arial"/>
          <w:b w:val="1"/>
        </w:rPr>
        <w:t xml:space="preserve"> </w:t>
      </w:r>
    </w:p>
    <w:p>
      <w:pPr>
        <w:pStyle w:val="normal"/>
        <w:spacing w:before="0" w:after="111" w:line="253" w:lineRule="auto"/>
        <w:ind w:left="355"/>
      </w:pPr>
      <w:r>
        <w:rPr>
          <w:rFonts w:cs="Arial" w:hAnsi="Arial" w:eastAsia="Arial" w:ascii="Arial"/>
          <w:b w:val="1"/>
        </w:rPr>
        <w:t xml:space="preserve">Step Option</w:t>
      </w:r>
      <w:r>
        <w:rPr/>
        <w:t xml:space="preserve">:  4 additional performances may be added at a stipend of $10 per member per performance plus minimum transportation  </w:t>
      </w:r>
      <w:r>
        <w:rPr>
          <w:rFonts w:cs="Arial" w:hAnsi="Arial" w:eastAsia="Arial" w:ascii="Arial"/>
          <w:b w:val="1"/>
        </w:rPr>
        <w:t xml:space="preserve"> </w:t>
      </w:r>
      <w:r>
        <w:rPr>
          <w:rFonts w:cs="Arial" w:hAnsi="Arial" w:eastAsia="Arial" w:ascii="Arial"/>
          <w:b w:val="1"/>
        </w:rPr>
        <w:t xml:space="preserve">Seats</w:t>
      </w:r>
      <w:r>
        <w:rPr/>
        <w:t xml:space="preserve">:  Up to 99 seats (standing room prohibited). </w:t>
      </w:r>
    </w:p>
    <w:p>
      <w:pPr>
        <w:pStyle w:val="normal"/>
        <w:spacing w:before="0" w:after="135" w:line="253" w:lineRule="auto"/>
        <w:ind w:left="355"/>
      </w:pPr>
      <w:r>
        <w:rPr>
          <w:rFonts w:cs="Arial" w:hAnsi="Arial" w:eastAsia="Arial" w:ascii="Arial"/>
          <w:b w:val="1"/>
        </w:rPr>
        <w:t xml:space="preserve">Admission: </w:t>
      </w:r>
      <w:r>
        <w:rPr/>
        <w:t xml:space="preserve">Complimentary Tickets.  (See Rule 15, TICKETS/”COMPS”) </w:t>
      </w:r>
    </w:p>
    <w:p>
      <w:pPr>
        <w:pStyle w:val="heading1"/>
        <w:spacing w:before="0" w:after="125" w:line="259" w:lineRule="auto"/>
        <w:ind w:left="251" w:hanging="266"/>
      </w:pPr>
      <w:bookmarkStart w:id="8986" w:name="_Toc8986"/>
      <w:r>
        <w:rPr/>
        <w:t xml:space="preserve">DEFINITIONS &amp; REFERENCES </w:t>
      </w:r>
      <w:bookmarkEnd w:id="8986"/>
    </w:p>
    <w:p>
      <w:pPr>
        <w:pStyle w:val="normal"/>
        <w:numPr>
          <w:ilvl w:val="0"/>
          <w:numId w:val="2"/>
        </w:numPr>
        <w:spacing w:before="0" w:after="111" w:line="253" w:lineRule="auto"/>
        <w:ind w:left="759" w:hanging="414"/>
      </w:pPr>
      <w:r>
        <w:rPr/>
        <w:t xml:space="preserve">The term “Actor” shall include all members of Actors’ Equity Association signed to this Code. </w:t>
      </w:r>
    </w:p>
    <w:p>
      <w:pPr>
        <w:pStyle w:val="normal"/>
        <w:numPr>
          <w:ilvl w:val="0"/>
          <w:numId w:val="2"/>
        </w:numPr>
        <w:spacing w:before="0" w:after="111" w:line="253" w:lineRule="auto"/>
        <w:ind w:left="759" w:hanging="414"/>
      </w:pPr>
      <w:r>
        <w:rPr/>
        <w:t xml:space="preserve">The terms “Showcase” or “Code production” refer to any production mounted under the terms by which Equity members may participate under the Equity Showcase Code. </w:t>
      </w:r>
    </w:p>
    <w:p>
      <w:pPr>
        <w:pStyle w:val="normal"/>
        <w:numPr>
          <w:ilvl w:val="0"/>
          <w:numId w:val="2"/>
        </w:numPr>
        <w:spacing w:before="0" w:after="111" w:line="253" w:lineRule="auto"/>
        <w:ind w:left="759" w:hanging="414"/>
      </w:pPr>
      <w:r>
        <w:rPr/>
        <w:t xml:space="preserve">A “performance” is any presentation before an audience, invited or paid, including previews and/or rehearsals. </w:t>
      </w:r>
    </w:p>
    <w:p>
      <w:pPr>
        <w:pStyle w:val="normal"/>
        <w:numPr>
          <w:ilvl w:val="0"/>
          <w:numId w:val="2"/>
        </w:numPr>
        <w:spacing w:before="0" w:after="111" w:line="253" w:lineRule="auto"/>
        <w:ind w:left="759" w:hanging="414"/>
      </w:pPr>
      <w:r>
        <w:rPr/>
        <w:t xml:space="preserve">A “Single-Unit production” is a single production presented by an individual or group, without benefit of an organization which survives the production, and expressly excludes any individual or group that regularly produces under an Equity contract. </w:t>
      </w:r>
    </w:p>
    <w:p>
      <w:pPr>
        <w:pStyle w:val="normal"/>
        <w:numPr>
          <w:ilvl w:val="0"/>
          <w:numId w:val="2"/>
        </w:numPr>
        <w:spacing w:before="0" w:after="111" w:line="253" w:lineRule="auto"/>
        <w:ind w:left="759" w:hanging="414"/>
      </w:pPr>
      <w:r>
        <w:rPr/>
        <w:t xml:space="preserve">A “Non-Funded Seasonal Producer” is one who owns, operates, or rents a theatre on an on-going basis but has no annual funding available. </w:t>
      </w:r>
    </w:p>
    <w:p>
      <w:pPr>
        <w:pStyle w:val="normal"/>
        <w:numPr>
          <w:ilvl w:val="0"/>
          <w:numId w:val="2"/>
        </w:numPr>
        <w:spacing w:before="0" w:after="111" w:line="253" w:lineRule="auto"/>
        <w:ind w:left="759" w:hanging="414"/>
      </w:pPr>
      <w:r>
        <w:rPr/>
        <w:t xml:space="preserve">A “Funded Seasonal Producer” is one who owns, operates, or rents a theatre on an on-going basis and is funded (either monetarily or in-kind) partially, or fully, on an annual basis. </w:t>
      </w:r>
    </w:p>
    <w:p>
      <w:pPr>
        <w:pStyle w:val="normal"/>
        <w:numPr>
          <w:ilvl w:val="0"/>
          <w:numId w:val="2"/>
        </w:numPr>
        <w:spacing w:before="0" w:after="111" w:line="253" w:lineRule="auto"/>
        <w:ind w:left="759" w:hanging="414"/>
      </w:pPr>
      <w:r>
        <w:rPr/>
        <w:t xml:space="preserve">“Funding” is financial support from any source other than earned income. </w:t>
      </w:r>
    </w:p>
    <w:p>
      <w:pPr>
        <w:pStyle w:val="normal"/>
        <w:numPr>
          <w:ilvl w:val="0"/>
          <w:numId w:val="2"/>
        </w:numPr>
        <w:spacing w:before="0" w:after="136" w:line="253" w:lineRule="auto"/>
        <w:ind w:left="759" w:hanging="414"/>
      </w:pPr>
      <w:r>
        <w:rPr/>
        <w:t xml:space="preserve">Upon Showcase approval and completion of casting, AEA will provide the “Signature Page” which shall be signed by all AEA members prior to the commencement of the first rehearsal.  (See also Rule 11(A).)  </w:t>
      </w:r>
    </w:p>
    <w:p>
      <w:pPr>
        <w:pStyle w:val="heading1"/>
        <w:spacing w:before="0" w:after="125" w:line="259" w:lineRule="auto"/>
        <w:ind w:left="251" w:hanging="266"/>
      </w:pPr>
      <w:bookmarkStart w:id="8987" w:name="_Toc8987"/>
      <w:r>
        <w:rPr/>
        <w:t xml:space="preserve">REGISTRATION/REQUIREMENTS </w:t>
      </w:r>
      <w:bookmarkEnd w:id="8987"/>
    </w:p>
    <w:p>
      <w:pPr>
        <w:pStyle w:val="normal"/>
        <w:numPr>
          <w:ilvl w:val="0"/>
          <w:numId w:val="3"/>
        </w:numPr>
        <w:spacing w:before="0" w:after="111" w:line="253" w:lineRule="auto"/>
        <w:ind w:left="355"/>
      </w:pPr>
      <w:r>
        <w:rPr/>
        <w:t xml:space="preserve">Registration for the Showcase Code must be filed with AEA no later than 14 days prior to the start of rehearsals and accompanied by the following: </w:t>
      </w:r>
    </w:p>
    <w:p>
      <w:pPr>
        <w:pStyle w:val="normal"/>
        <w:numPr>
          <w:ilvl w:val="1"/>
          <w:numId w:val="3"/>
        </w:numPr>
        <w:spacing w:before="0" w:after="111" w:line="253" w:lineRule="auto"/>
        <w:ind w:left="1080" w:hanging="360"/>
      </w:pPr>
      <w:r>
        <w:rPr/>
        <w:t xml:space="preserve">The Contact’s name(s), address(es), phone number(s) and email addresses. </w:t>
      </w:r>
    </w:p>
    <w:p>
      <w:pPr>
        <w:pStyle w:val="normal"/>
        <w:numPr>
          <w:ilvl w:val="1"/>
          <w:numId w:val="3"/>
        </w:numPr>
        <w:spacing w:before="0" w:after="111" w:line="253" w:lineRule="auto"/>
        <w:ind w:left="1080" w:hanging="360"/>
      </w:pPr>
      <w:r>
        <w:rPr/>
        <w:t xml:space="preserve">The title of the production, author(s) name, and type of production (e.g., dramatic play, musical, revue, improvisational revue).  </w:t>
      </w:r>
    </w:p>
    <w:p>
      <w:pPr>
        <w:pStyle w:val="normal"/>
        <w:numPr>
          <w:ilvl w:val="1"/>
          <w:numId w:val="3"/>
        </w:numPr>
        <w:spacing w:before="0" w:after="111" w:line="253" w:lineRule="auto"/>
        <w:ind w:left="1080" w:hanging="360"/>
      </w:pPr>
      <w:r>
        <w:rPr/>
        <w:t xml:space="preserve">A statement as to whether the play has been produced previously under any Equity Contract, AEA Code, or any production for which a Subsidiary Rights clause has been executed. In the case of a work not previously produced, a copy of the Author’s Agreement shall be submitted to AEA with the registration. </w:t>
      </w:r>
    </w:p>
    <w:p>
      <w:pPr>
        <w:pStyle w:val="normal"/>
        <w:numPr>
          <w:ilvl w:val="1"/>
          <w:numId w:val="3"/>
        </w:numPr>
        <w:spacing w:before="0" w:after="111" w:line="253" w:lineRule="auto"/>
        <w:ind w:left="1080" w:hanging="360"/>
      </w:pPr>
      <w:r>
        <w:rPr/>
        <w:t xml:space="preserve">Name, address, and phone number of the theatre and its seating capacity, and phone number of rehearsal space(s). </w:t>
      </w:r>
    </w:p>
    <w:p>
      <w:pPr>
        <w:pStyle w:val="normal"/>
        <w:numPr>
          <w:ilvl w:val="1"/>
          <w:numId w:val="3"/>
        </w:numPr>
        <w:spacing w:before="0" w:after="111" w:line="253" w:lineRule="auto"/>
        <w:ind w:left="1080" w:hanging="360"/>
      </w:pPr>
      <w:r>
        <w:rPr/>
        <w:t xml:space="preserve">The performance schedule, proposed rehearsal period, and proposed production budget. </w:t>
      </w:r>
    </w:p>
    <w:p>
      <w:pPr>
        <w:pStyle w:val="normal"/>
        <w:numPr>
          <w:ilvl w:val="1"/>
          <w:numId w:val="3"/>
        </w:numPr>
        <w:spacing w:before="0" w:after="111" w:line="253" w:lineRule="auto"/>
        <w:ind w:left="1080" w:hanging="360"/>
      </w:pPr>
      <w:r>
        <w:rPr/>
        <w:t xml:space="preserve">The Producer shall provide volunteer accident or Worker’s Compensation insurance to cover all Actors at all interviews, auditions, rehearsals, and performances and shall file with Equity a copy indicating such insurance coverage.  The Producer shall cover all medical expenses incurred by Actors resulting from injury to Actor during interviews, auditions, rehearsals, and performances.  In the event of an injury the Producer shall advise the Actor of the procedure for filing a claim. </w:t>
      </w:r>
    </w:p>
    <w:p>
      <w:pPr>
        <w:pStyle w:val="normal"/>
        <w:numPr>
          <w:ilvl w:val="1"/>
          <w:numId w:val="3"/>
        </w:numPr>
        <w:spacing w:before="0" w:after="111" w:line="253" w:lineRule="auto"/>
        <w:ind w:left="1080" w:hanging="360"/>
      </w:pPr>
      <w:r>
        <w:rPr/>
        <w:t xml:space="preserve">Upon completion of casting, Producer shall provide to AEA the names of the AEA Actors and Stage Managers for the Signature Page which shall be signed by all said members prior to the commencement of the first rehearsal.  (See also Rule 11(A).) </w:t>
      </w:r>
    </w:p>
    <w:p>
      <w:pPr>
        <w:pStyle w:val="normal"/>
        <w:numPr>
          <w:ilvl w:val="0"/>
          <w:numId w:val="3"/>
        </w:numPr>
        <w:spacing w:before="0" w:after="111" w:line="253" w:lineRule="auto"/>
        <w:ind w:left="355"/>
      </w:pPr>
      <w:r>
        <w:rPr/>
        <w:t xml:space="preserve">The Producer shall submit to AEA a statement of actual expenses, income, and attendance no later than 10 days after the completion of the Showcase. Failure to comply may result in the placement of the Producer on the defaulting producers list. </w:t>
      </w:r>
    </w:p>
    <w:p>
      <w:pPr>
        <w:pStyle w:val="normal"/>
        <w:numPr>
          <w:ilvl w:val="0"/>
          <w:numId w:val="3"/>
        </w:numPr>
        <w:spacing w:before="0" w:after="111" w:line="253" w:lineRule="auto"/>
        <w:ind w:left="355"/>
      </w:pPr>
      <w:r>
        <w:rPr/>
        <w:t xml:space="preserve">The Producer shall be responsible for the distribution of names and contact information of all company members together with those of other essential personnel to the AEA members within the first week of rehearsal. </w:t>
      </w:r>
    </w:p>
    <w:p>
      <w:pPr>
        <w:pStyle w:val="normal"/>
        <w:numPr>
          <w:ilvl w:val="0"/>
          <w:numId w:val="3"/>
        </w:numPr>
        <w:spacing w:before="0" w:after="111" w:line="253" w:lineRule="auto"/>
        <w:ind w:left="355"/>
      </w:pPr>
      <w:r>
        <w:rPr/>
        <w:t xml:space="preserve">Equity shall have the sole right to determine whether an individual is correctly classified as an Actor, Chorus, Stage Manager, or Assistant Stage Manager, and such determination shall be final and binding. </w:t>
      </w:r>
    </w:p>
    <w:p>
      <w:pPr>
        <w:pStyle w:val="normal"/>
        <w:numPr>
          <w:ilvl w:val="0"/>
          <w:numId w:val="3"/>
        </w:numPr>
        <w:spacing w:before="0" w:after="136" w:line="253" w:lineRule="auto"/>
        <w:ind w:left="355"/>
      </w:pPr>
      <w:r>
        <w:rPr/>
        <w:t xml:space="preserve">The Producer may not request or require financial contributions, loans, tuition fees, or payments of any kind from AEA members and may not require loan of costumes or properties from AEA members. </w:t>
      </w:r>
    </w:p>
    <w:p>
      <w:pPr>
        <w:pStyle w:val="heading1"/>
        <w:spacing w:before="0" w:after="125" w:line="259" w:lineRule="auto"/>
        <w:ind w:left="252" w:hanging="267"/>
      </w:pPr>
      <w:bookmarkStart w:id="8988" w:name="_Toc8988"/>
      <w:r>
        <w:rPr/>
        <w:t xml:space="preserve">GENERAL PROVISIONS </w:t>
      </w:r>
      <w:bookmarkEnd w:id="8988"/>
    </w:p>
    <w:p>
      <w:pPr>
        <w:pStyle w:val="normal"/>
        <w:spacing w:before="0" w:after="111" w:line="253" w:lineRule="auto"/>
        <w:ind w:left="10"/>
      </w:pPr>
      <w:r>
        <w:rPr/>
        <w:t xml:space="preserve">No AEA member may rehearse without signing the Signature Page.   (See also Rule11(A).)  </w:t>
      </w:r>
    </w:p>
    <w:p>
      <w:pPr>
        <w:pStyle w:val="normal"/>
        <w:numPr>
          <w:ilvl w:val="0"/>
          <w:numId w:val="4"/>
        </w:numPr>
        <w:spacing w:before="0" w:after="111" w:line="253" w:lineRule="auto"/>
        <w:ind w:left="355"/>
      </w:pPr>
      <w:r>
        <w:rPr/>
        <w:t xml:space="preserve">If any of the provisions contained herein are violated, abridged, or modified, permission for Equity Members’ participation may, without notice, be withdrawn by AEA.  </w:t>
      </w:r>
    </w:p>
    <w:p>
      <w:pPr>
        <w:pStyle w:val="normal"/>
        <w:numPr>
          <w:ilvl w:val="0"/>
          <w:numId w:val="4"/>
        </w:numPr>
        <w:spacing w:before="0" w:after="111" w:line="253" w:lineRule="auto"/>
        <w:ind w:left="355"/>
      </w:pPr>
      <w:r>
        <w:rPr/>
        <w:t xml:space="preserve">Neither the Showcase Producer nor the Actor(s) have any right or power to waive any of the minimum conditions set forth in this Code Agreement without the express consent of Equity. (This provision includes, but is not limited to, rehearsal hours and the number of rehearsal days, reimbursement, video or audio recording of a show and extending the number of performances). </w:t>
      </w:r>
    </w:p>
    <w:p>
      <w:pPr>
        <w:pStyle w:val="normal"/>
        <w:numPr>
          <w:ilvl w:val="0"/>
          <w:numId w:val="4"/>
        </w:numPr>
        <w:spacing w:before="0" w:after="111" w:line="253" w:lineRule="auto"/>
        <w:ind w:left="355"/>
      </w:pPr>
      <w:r>
        <w:rPr/>
        <w:t xml:space="preserve">There shall be no televising, broadcasting, visual and/or sound recording, cast album recording, motion picture filming, video taping or other mechanical or electronic reproduction, in whole or in part, of any Code production. This prohibition shall be in effect from the first day of rehearsal under the Code until 26 weeks after the production has closed.  </w:t>
      </w:r>
    </w:p>
    <w:p>
      <w:pPr>
        <w:pStyle w:val="normal"/>
        <w:numPr>
          <w:ilvl w:val="0"/>
          <w:numId w:val="4"/>
        </w:numPr>
        <w:spacing w:before="0" w:after="111" w:line="253" w:lineRule="auto"/>
        <w:ind w:left="355"/>
      </w:pPr>
      <w:r>
        <w:rPr/>
        <w:t xml:space="preserve">Material which is suitable for Theatre for Young Audiences and school productions may not be performed under this Code. (“Young Audiences” consist of young people of high school age and under, and their families, faculty, official sponsors and/or institutional staff). </w:t>
      </w:r>
    </w:p>
    <w:p>
      <w:pPr>
        <w:pStyle w:val="normal"/>
        <w:numPr>
          <w:ilvl w:val="0"/>
          <w:numId w:val="4"/>
        </w:numPr>
        <w:spacing w:before="0" w:after="111" w:line="253" w:lineRule="auto"/>
        <w:ind w:left="355"/>
      </w:pPr>
      <w:r>
        <w:rPr/>
        <w:t xml:space="preserve">Neither membership, nor Equity Membership Candidate points for joining Equity, may be established by a performer’s participation in a Code production. </w:t>
      </w:r>
    </w:p>
    <w:p>
      <w:pPr>
        <w:pStyle w:val="normal"/>
        <w:numPr>
          <w:ilvl w:val="0"/>
          <w:numId w:val="4"/>
        </w:numPr>
        <w:spacing w:before="0" w:after="111" w:line="253" w:lineRule="auto"/>
        <w:ind w:left="355"/>
      </w:pPr>
      <w:r>
        <w:rPr/>
        <w:t xml:space="preserve">Duly authorized representatives of Equity shall have free access to all areas to which Actors are called and to all members of Equity at all times, inclusive of rehearsals and performances. </w:t>
      </w:r>
    </w:p>
    <w:p>
      <w:pPr>
        <w:pStyle w:val="normal"/>
        <w:numPr>
          <w:ilvl w:val="0"/>
          <w:numId w:val="4"/>
        </w:numPr>
        <w:spacing w:before="0" w:after="136" w:line="253" w:lineRule="auto"/>
        <w:ind w:left="355"/>
      </w:pPr>
      <w:r>
        <w:rPr/>
        <w:t xml:space="preserve">A Showcase Code production may not be re-mounted under the Showcase Code within a 12-month period. </w:t>
      </w:r>
    </w:p>
    <w:p>
      <w:pPr>
        <w:pStyle w:val="heading1"/>
        <w:spacing w:before="0" w:after="125" w:line="259" w:lineRule="auto"/>
        <w:ind w:left="251" w:hanging="266"/>
      </w:pPr>
      <w:bookmarkStart w:id="8989" w:name="_Toc8989"/>
      <w:r>
        <w:rPr/>
        <w:t xml:space="preserve">CASTING </w:t>
      </w:r>
      <w:bookmarkEnd w:id="8989"/>
    </w:p>
    <w:p>
      <w:pPr>
        <w:pStyle w:val="normal"/>
        <w:numPr>
          <w:ilvl w:val="0"/>
          <w:numId w:val="5"/>
        </w:numPr>
        <w:spacing w:before="0" w:after="111" w:line="253" w:lineRule="auto"/>
        <w:ind w:left="745" w:hanging="400"/>
      </w:pPr>
      <w:r>
        <w:rPr/>
        <w:t xml:space="preserve">All casting notices for productions in which AEA members may be used will indicate “Pending Equity Approval” or “AEA Approved,” whichever is applicable. </w:t>
      </w:r>
    </w:p>
    <w:p>
      <w:pPr>
        <w:pStyle w:val="normal"/>
        <w:numPr>
          <w:ilvl w:val="0"/>
          <w:numId w:val="5"/>
        </w:numPr>
        <w:spacing w:before="0" w:after="111" w:line="253" w:lineRule="auto"/>
        <w:ind w:left="745" w:hanging="400"/>
      </w:pPr>
      <w:r>
        <w:rPr/>
        <w:t xml:space="preserve">The Producer shall furnish a copy of the cast breakdown with indication of the roles available, dates of rehearsals and performances, and the address at which pictures and resumes will be accepted, to be posted at AEA. </w:t>
      </w:r>
    </w:p>
    <w:p>
      <w:pPr>
        <w:pStyle w:val="normal"/>
        <w:numPr>
          <w:ilvl w:val="0"/>
          <w:numId w:val="5"/>
        </w:numPr>
        <w:spacing w:before="0" w:after="111" w:line="253" w:lineRule="auto"/>
        <w:ind w:left="745" w:hanging="400"/>
      </w:pPr>
      <w:r>
        <w:rPr/>
        <w:t xml:space="preserve">The Producer must provide, maintain, and monitor a sign-in sheet. </w:t>
      </w:r>
    </w:p>
    <w:p>
      <w:pPr>
        <w:pStyle w:val="normal"/>
        <w:numPr>
          <w:ilvl w:val="0"/>
          <w:numId w:val="5"/>
        </w:numPr>
        <w:spacing w:before="0" w:after="111" w:line="253" w:lineRule="auto"/>
        <w:ind w:left="745" w:hanging="400"/>
      </w:pPr>
      <w:r>
        <w:rPr/>
        <w:t xml:space="preserve">Initial interview/audition for Code productions must be limited to not more than five minutes per Actor. </w:t>
      </w:r>
    </w:p>
    <w:p>
      <w:pPr>
        <w:pStyle w:val="normal"/>
        <w:numPr>
          <w:ilvl w:val="0"/>
          <w:numId w:val="5"/>
        </w:numPr>
        <w:spacing w:before="0" w:after="111" w:line="253" w:lineRule="auto"/>
        <w:ind w:left="745" w:hanging="400"/>
      </w:pPr>
      <w:r>
        <w:rPr/>
        <w:t xml:space="preserve">Actors may not be seen more than three times, including all interviews, auditions, and callbacks, prior to being cast in a Code production.  </w:t>
      </w:r>
    </w:p>
    <w:p>
      <w:pPr>
        <w:pStyle w:val="normal"/>
        <w:numPr>
          <w:ilvl w:val="0"/>
          <w:numId w:val="5"/>
        </w:numPr>
        <w:spacing w:before="0" w:after="111" w:line="253" w:lineRule="auto"/>
        <w:ind w:left="745" w:hanging="400"/>
      </w:pPr>
      <w:r>
        <w:rPr/>
        <w:t xml:space="preserve">Auditions or interviews for AEA members may not be held during the hours of an AEA Membership meeting.  </w:t>
      </w:r>
    </w:p>
    <w:p>
      <w:pPr>
        <w:pStyle w:val="normal"/>
        <w:numPr>
          <w:ilvl w:val="0"/>
          <w:numId w:val="5"/>
        </w:numPr>
        <w:spacing w:before="0" w:after="111" w:line="253" w:lineRule="auto"/>
        <w:ind w:left="745" w:hanging="400"/>
      </w:pPr>
      <w:r>
        <w:rPr/>
        <w:t xml:space="preserve">All safe and sanitary conditions as specified in Rule 12(D) shall apply to interview and audition locations.</w:t>
      </w:r>
      <w:r>
        <w:rPr>
          <w:rFonts w:cs="Arial" w:hAnsi="Arial" w:eastAsia="Arial" w:ascii="Arial"/>
          <w:b w:val="1"/>
        </w:rPr>
        <w:t xml:space="preserve"> </w:t>
      </w:r>
    </w:p>
    <w:p>
      <w:pPr>
        <w:pStyle w:val="normal"/>
        <w:numPr>
          <w:ilvl w:val="0"/>
          <w:numId w:val="5"/>
        </w:numPr>
        <w:spacing w:before="0" w:after="136" w:line="253" w:lineRule="auto"/>
        <w:ind w:left="745" w:hanging="400"/>
      </w:pPr>
      <w:r>
        <w:rPr/>
        <w:t xml:space="preserve">Auditions/Interviews may be held in private homes or hotel rooms only with the express permission of Equity and provided more than one person representing the production shall be present. </w:t>
      </w:r>
    </w:p>
    <w:p>
      <w:pPr>
        <w:pStyle w:val="heading1"/>
        <w:spacing w:before="0" w:after="125" w:line="259" w:lineRule="auto"/>
        <w:ind w:left="251" w:hanging="266"/>
      </w:pPr>
      <w:bookmarkStart w:id="8990" w:name="_Toc8990"/>
      <w:r>
        <w:rPr/>
        <w:t xml:space="preserve">DISCRIMINATION </w:t>
      </w:r>
      <w:bookmarkEnd w:id="8990"/>
    </w:p>
    <w:p>
      <w:pPr>
        <w:pStyle w:val="normal"/>
        <w:spacing w:before="0" w:after="136" w:line="253" w:lineRule="auto"/>
        <w:ind w:left="10"/>
      </w:pPr>
      <w:r>
        <w:rPr/>
        <w:t xml:space="preserve">There shall be no discrimination against any Actors by reason of race, color, creed, gender, age, national origin, sexual orientation, disability, union membership or activity. </w:t>
      </w:r>
    </w:p>
    <w:p>
      <w:pPr>
        <w:pStyle w:val="heading1"/>
        <w:spacing w:before="0" w:after="125" w:line="259" w:lineRule="auto"/>
        <w:ind w:left="251" w:hanging="266"/>
      </w:pPr>
      <w:bookmarkStart w:id="8991" w:name="_Toc8991"/>
      <w:r>
        <w:rPr/>
        <w:t xml:space="preserve">NUDITY </w:t>
      </w:r>
      <w:bookmarkEnd w:id="8991"/>
    </w:p>
    <w:p>
      <w:pPr>
        <w:pStyle w:val="normal"/>
        <w:numPr>
          <w:ilvl w:val="0"/>
          <w:numId w:val="6"/>
        </w:numPr>
        <w:spacing w:before="0" w:after="111" w:line="253" w:lineRule="auto"/>
        <w:ind w:left="718" w:hanging="373"/>
      </w:pPr>
      <w:r>
        <w:rPr>
          <w:rFonts w:cs="Arial" w:hAnsi="Arial" w:eastAsia="Arial" w:ascii="Arial"/>
          <w:b w:val="1"/>
        </w:rPr>
        <w:t xml:space="preserve">Auditions.</w:t>
      </w:r>
      <w:r>
        <w:rPr/>
        <w:t xml:space="preserve">  Nudity shall NOT be permitted at Equity interviews or auditions.  If nudity is contemplated in the staging, Producer shall include a notice of nudity in all audition notices, and prominently post such notice at all auditions. </w:t>
      </w:r>
    </w:p>
    <w:p>
      <w:pPr>
        <w:pStyle w:val="normal"/>
        <w:numPr>
          <w:ilvl w:val="0"/>
          <w:numId w:val="6"/>
        </w:numPr>
        <w:spacing w:before="0" w:after="111" w:line="253" w:lineRule="auto"/>
        <w:ind w:left="718" w:hanging="373"/>
      </w:pPr>
      <w:r>
        <w:rPr/>
        <w:t xml:space="preserve">The Equity Member is reminded that the Showcase Code is a Union Membership Code, and does not carry the usual protections of Equity Contracts.  If at any time during the production the Equity Member feels unsafe or uncertain as to the nature of a request regarding nudity or acts of a sexual nature, the Member is advised to exercise caution, contact the Equity Office, and take all precautions up to and including leaving the production.  </w:t>
      </w:r>
    </w:p>
    <w:p>
      <w:pPr>
        <w:pStyle w:val="normal"/>
        <w:numPr>
          <w:ilvl w:val="0"/>
          <w:numId w:val="6"/>
        </w:numPr>
        <w:spacing w:before="0" w:after="111" w:line="253" w:lineRule="auto"/>
        <w:ind w:left="718" w:hanging="373"/>
      </w:pPr>
      <w:r>
        <w:rPr/>
        <w:t xml:space="preserve">Where nudity and/or acts of a sexual nature are required of a performer in the course of the stage presentation, the performer and AEA must be so advised, in writing, in advance of a performer’s signing the Showcase Code.  The script shall be submitted to the performer for prior review if the performer so requests. </w:t>
      </w:r>
    </w:p>
    <w:p>
      <w:pPr>
        <w:pStyle w:val="normal"/>
        <w:numPr>
          <w:ilvl w:val="0"/>
          <w:numId w:val="6"/>
        </w:numPr>
        <w:spacing w:before="0" w:after="111" w:line="253" w:lineRule="auto"/>
        <w:ind w:left="718" w:hanging="373"/>
      </w:pPr>
      <w:r>
        <w:rPr/>
        <w:t xml:space="preserve">The Actor shall not pose for nude photographs nor appear nude for any motion picture filming, videotaping, or other forms of visual recording without the Actor’s prior written consent.  An Equity Nude Photograph/Video Release Form must be fully executed for any use of the photo or visual recording. </w:t>
      </w:r>
    </w:p>
    <w:p>
      <w:pPr>
        <w:pStyle w:val="normal"/>
        <w:numPr>
          <w:ilvl w:val="0"/>
          <w:numId w:val="6"/>
        </w:numPr>
        <w:spacing w:before="0" w:after="111" w:line="253" w:lineRule="auto"/>
        <w:ind w:left="718" w:hanging="373"/>
      </w:pPr>
      <w:r>
        <w:rPr/>
        <w:t xml:space="preserve">While nude, the Actor shall not mix with the audience or leave the stage, backstage, or performance area.  The producer shall take all necessary measures to ensure that no member of the audience will be permitted to enter the stage, performance area, or backstage while any Actor is nude. </w:t>
      </w:r>
    </w:p>
    <w:p>
      <w:pPr>
        <w:pStyle w:val="normal"/>
        <w:numPr>
          <w:ilvl w:val="0"/>
          <w:numId w:val="6"/>
        </w:numPr>
        <w:spacing w:before="0" w:after="111" w:line="253" w:lineRule="auto"/>
        <w:ind w:left="718" w:hanging="373"/>
      </w:pPr>
      <w:r>
        <w:rPr/>
        <w:t xml:space="preserve">Actual sex acts shall not be requested nor required of a performer at any time. </w:t>
      </w:r>
    </w:p>
    <w:p>
      <w:pPr>
        <w:pStyle w:val="heading1"/>
        <w:spacing w:before="0" w:after="125" w:line="259" w:lineRule="auto"/>
        <w:ind w:left="252" w:hanging="267"/>
      </w:pPr>
      <w:bookmarkStart w:id="8992" w:name="_Toc8992"/>
      <w:r>
        <w:rPr/>
        <w:t xml:space="preserve">ACTOR RESPONSIBILITIES </w:t>
      </w:r>
      <w:bookmarkEnd w:id="8992"/>
    </w:p>
    <w:p>
      <w:pPr>
        <w:pStyle w:val="normal"/>
        <w:spacing w:before="0" w:after="111" w:line="253" w:lineRule="auto"/>
        <w:ind w:left="10"/>
      </w:pPr>
      <w:r>
        <w:rPr/>
        <w:t xml:space="preserve">No AEA member may rehearse without signing the Signature Page.  (See also Rule 11(A).) </w:t>
      </w:r>
    </w:p>
    <w:p>
      <w:pPr>
        <w:pStyle w:val="normal"/>
        <w:spacing w:before="0" w:after="111" w:line="253" w:lineRule="auto"/>
        <w:ind w:left="10"/>
      </w:pPr>
      <w:r>
        <w:rPr/>
        <w:t xml:space="preserve">AEA members shall: </w:t>
      </w:r>
    </w:p>
    <w:p>
      <w:pPr>
        <w:pStyle w:val="normal"/>
        <w:numPr>
          <w:ilvl w:val="0"/>
          <w:numId w:val="7"/>
        </w:numPr>
        <w:spacing w:before="0" w:after="111" w:line="253" w:lineRule="auto"/>
        <w:ind w:left="758" w:hanging="413"/>
      </w:pPr>
      <w:r>
        <w:rPr/>
        <w:t xml:space="preserve">Report immediately to the Deputy any alleged infringement of the Code;  </w:t>
      </w:r>
    </w:p>
    <w:p>
      <w:pPr>
        <w:pStyle w:val="normal"/>
        <w:numPr>
          <w:ilvl w:val="0"/>
          <w:numId w:val="7"/>
        </w:numPr>
        <w:spacing w:before="0" w:after="111" w:line="253" w:lineRule="auto"/>
        <w:ind w:left="758" w:hanging="413"/>
      </w:pPr>
      <w:r>
        <w:rPr/>
        <w:t xml:space="preserve">Be prompt in attendance at rehearsals and attend rehearsals in accordance with the member’s availability;  </w:t>
      </w:r>
    </w:p>
    <w:p>
      <w:pPr>
        <w:pStyle w:val="normal"/>
        <w:numPr>
          <w:ilvl w:val="0"/>
          <w:numId w:val="7"/>
        </w:numPr>
        <w:spacing w:before="0" w:after="111" w:line="253" w:lineRule="auto"/>
        <w:ind w:left="758" w:hanging="413"/>
      </w:pPr>
      <w:r>
        <w:rPr/>
        <w:t xml:space="preserve">Report immediately to the Stage Manager any changes in the member’s availability which affects scheduled rehearsals or performances;  </w:t>
      </w:r>
    </w:p>
    <w:p>
      <w:pPr>
        <w:pStyle w:val="normal"/>
        <w:numPr>
          <w:ilvl w:val="0"/>
          <w:numId w:val="7"/>
        </w:numPr>
        <w:spacing w:before="0" w:after="111" w:line="253" w:lineRule="auto"/>
        <w:ind w:left="758" w:hanging="413"/>
      </w:pPr>
      <w:r>
        <w:rPr/>
        <w:t xml:space="preserve">Be allowed to leave a production at any time during rehearsal or performance. Immediately upon deciding to leave the production, the Actor shall notify the Producer in writing.  A copy of said notification shall also be forwarded to AEA by the Actor;  </w:t>
      </w:r>
    </w:p>
    <w:p>
      <w:pPr>
        <w:pStyle w:val="normal"/>
        <w:numPr>
          <w:ilvl w:val="0"/>
          <w:numId w:val="7"/>
        </w:numPr>
        <w:spacing w:before="0" w:after="111" w:line="253" w:lineRule="auto"/>
        <w:ind w:left="758" w:hanging="413"/>
      </w:pPr>
      <w:r>
        <w:rPr/>
        <w:t xml:space="preserve">Appear at the theatre no later than one-half hour prior to performance time;  </w:t>
      </w:r>
    </w:p>
    <w:p>
      <w:pPr>
        <w:pStyle w:val="normal"/>
        <w:numPr>
          <w:ilvl w:val="0"/>
          <w:numId w:val="7"/>
        </w:numPr>
        <w:spacing w:before="0" w:after="111" w:line="253" w:lineRule="auto"/>
        <w:ind w:left="758" w:hanging="413"/>
      </w:pPr>
      <w:r>
        <w:rPr/>
        <w:t xml:space="preserve">Perform services as reasonably directed and abide by the language of the script to the best of the member’s ability;  </w:t>
      </w:r>
    </w:p>
    <w:p>
      <w:pPr>
        <w:pStyle w:val="normal"/>
        <w:numPr>
          <w:ilvl w:val="0"/>
          <w:numId w:val="7"/>
        </w:numPr>
        <w:spacing w:before="0" w:after="111" w:line="253" w:lineRule="auto"/>
        <w:ind w:left="758" w:hanging="413"/>
      </w:pPr>
      <w:r>
        <w:rPr/>
        <w:t xml:space="preserve">Pay strict attention to make-up and dress; </w:t>
      </w:r>
    </w:p>
    <w:p>
      <w:pPr>
        <w:pStyle w:val="normal"/>
        <w:numPr>
          <w:ilvl w:val="0"/>
          <w:numId w:val="7"/>
        </w:numPr>
        <w:spacing w:before="0" w:after="111" w:line="253" w:lineRule="auto"/>
        <w:ind w:left="758" w:hanging="413"/>
      </w:pPr>
      <w:r>
        <w:rPr/>
        <w:t xml:space="preserve">Care properly for all costumes and properties; </w:t>
      </w:r>
    </w:p>
    <w:p>
      <w:pPr>
        <w:pStyle w:val="normal"/>
        <w:numPr>
          <w:ilvl w:val="0"/>
          <w:numId w:val="7"/>
        </w:numPr>
        <w:spacing w:before="0" w:after="111" w:line="253" w:lineRule="auto"/>
        <w:ind w:left="758" w:hanging="413"/>
      </w:pPr>
      <w:r>
        <w:rPr/>
        <w:t xml:space="preserve">Arrange for any costume and/or prop reimbursement with Producer before such items are used in the production. (See also Rule 12(C).) </w:t>
      </w:r>
    </w:p>
    <w:p>
      <w:pPr>
        <w:pStyle w:val="normal"/>
        <w:numPr>
          <w:ilvl w:val="0"/>
          <w:numId w:val="7"/>
        </w:numPr>
        <w:spacing w:before="0" w:after="136" w:line="253" w:lineRule="auto"/>
        <w:ind w:left="758" w:hanging="413"/>
      </w:pPr>
      <w:r>
        <w:rPr/>
        <w:t xml:space="preserve">Respect the physical property of the production and the theatre and abide by all reasonable rules and regulations of the Producer not in conflict with Equity rules.  </w:t>
      </w:r>
    </w:p>
    <w:p>
      <w:pPr>
        <w:pStyle w:val="heading1"/>
        <w:spacing w:before="0" w:after="125" w:line="259" w:lineRule="auto"/>
        <w:ind w:left="251" w:hanging="266"/>
      </w:pPr>
      <w:bookmarkStart w:id="8993" w:name="_Toc8993"/>
      <w:r>
        <w:rPr/>
        <w:t xml:space="preserve">STAGE MANAGER </w:t>
      </w:r>
      <w:bookmarkEnd w:id="8993"/>
    </w:p>
    <w:p>
      <w:pPr>
        <w:pStyle w:val="normal"/>
        <w:spacing w:before="0" w:after="111" w:line="253" w:lineRule="auto"/>
        <w:ind w:left="10"/>
      </w:pPr>
      <w:r>
        <w:rPr/>
        <w:t xml:space="preserve">The Stage Manager shall not be required to perform any duties not normally regarded as a function of a Stage Manager. The Stage Manager shall be the individual expected to perform at least the following duties: </w:t>
      </w:r>
    </w:p>
    <w:p>
      <w:pPr>
        <w:pStyle w:val="normal"/>
        <w:numPr>
          <w:ilvl w:val="0"/>
          <w:numId w:val="8"/>
        </w:numPr>
        <w:spacing w:before="0" w:after="111" w:line="253" w:lineRule="auto"/>
        <w:ind w:left="355"/>
      </w:pPr>
      <w:r>
        <w:rPr/>
        <w:t xml:space="preserve">Be responsible for the calling of all rehearsals scheduled by the director in accordance with the rules and regulations of AEA. </w:t>
      </w:r>
    </w:p>
    <w:p>
      <w:pPr>
        <w:pStyle w:val="normal"/>
        <w:numPr>
          <w:ilvl w:val="0"/>
          <w:numId w:val="8"/>
        </w:numPr>
        <w:spacing w:before="0" w:after="111" w:line="253" w:lineRule="auto"/>
        <w:ind w:left="355"/>
      </w:pPr>
      <w:r>
        <w:rPr/>
        <w:t xml:space="preserve">Assemble and maintain the promptbook, which is defined as the accurate playing text of stage business, together with such cue sheets, plots, and daily records, as are necessary for the actual technical and artistic operation of the production. </w:t>
      </w:r>
    </w:p>
    <w:p>
      <w:pPr>
        <w:pStyle w:val="normal"/>
        <w:numPr>
          <w:ilvl w:val="0"/>
          <w:numId w:val="8"/>
        </w:numPr>
        <w:spacing w:before="0" w:after="111" w:line="253" w:lineRule="auto"/>
        <w:ind w:left="355"/>
      </w:pPr>
      <w:r>
        <w:rPr/>
        <w:t xml:space="preserve">Be the executive instrument in the technical running of each performance, maintaining discipline during rehearsal and performance, as provided in the Rules of AEA. </w:t>
      </w:r>
    </w:p>
    <w:p>
      <w:pPr>
        <w:pStyle w:val="heading2"/>
        <w:spacing w:before="0" w:after="125" w:line="259" w:lineRule="auto"/>
        <w:ind w:left="370"/>
      </w:pPr>
      <w:r>
        <w:rPr>
          <w:rFonts w:cs="Arial" w:hAnsi="Arial" w:eastAsia="Arial" w:ascii="Arial"/>
          <w:b w:val="0"/>
        </w:rPr>
        <w:t xml:space="preserve">(D) </w:t>
      </w:r>
      <w:r>
        <w:rPr/>
        <w:t xml:space="preserve">Working Conditions for Stage Managers </w:t>
      </w:r>
    </w:p>
    <w:p>
      <w:pPr>
        <w:pStyle w:val="normal"/>
        <w:spacing w:before="0" w:after="111" w:line="253" w:lineRule="auto"/>
        <w:ind w:left="355"/>
      </w:pPr>
      <w:r>
        <w:rPr/>
        <w:t xml:space="preserve">It is agreed and understood that the function of the Stage Manager is a full time one.  Stage Managers must not be required to function in areas which impinge upon their primary duties as Stage Managers.  As such, the Stage Manager shall not be required to perform the following duties commencing with the first rehearsal unless agreed upon </w:t>
      </w:r>
      <w:r>
        <w:rPr/>
        <w:t xml:space="preserve">by both the Stage Manager and Producer prior to the Stage Manager signing the Signature Page: </w:t>
      </w:r>
    </w:p>
    <w:p>
      <w:pPr>
        <w:pStyle w:val="normal"/>
        <w:numPr>
          <w:ilvl w:val="0"/>
          <w:numId w:val="9"/>
        </w:numPr>
        <w:spacing w:before="0" w:after="111" w:line="253" w:lineRule="auto"/>
        <w:ind w:left="1627" w:hanging="360"/>
      </w:pPr>
      <w:r>
        <w:rPr/>
        <w:t xml:space="preserve">Participating in the ordering and/or preparation of food for the company; </w:t>
      </w:r>
    </w:p>
    <w:p>
      <w:pPr>
        <w:pStyle w:val="normal"/>
        <w:numPr>
          <w:ilvl w:val="0"/>
          <w:numId w:val="9"/>
        </w:numPr>
        <w:spacing w:before="0" w:after="111" w:line="253" w:lineRule="auto"/>
        <w:ind w:left="1627" w:hanging="360"/>
      </w:pPr>
      <w:r>
        <w:rPr/>
        <w:t xml:space="preserve">Performing the duties which are properly those of stagehands, house management staff or box office personnel; </w:t>
      </w:r>
    </w:p>
    <w:p>
      <w:pPr>
        <w:pStyle w:val="normal"/>
        <w:numPr>
          <w:ilvl w:val="0"/>
          <w:numId w:val="9"/>
        </w:numPr>
        <w:spacing w:before="0" w:after="111" w:line="253" w:lineRule="auto"/>
        <w:ind w:left="1627" w:hanging="360"/>
      </w:pPr>
      <w:r>
        <w:rPr/>
        <w:t xml:space="preserve">Designing, building, hanging, operating, or shopping for lights, sound, scenery, props or wardrobe, etc.; </w:t>
      </w:r>
    </w:p>
    <w:p>
      <w:pPr>
        <w:pStyle w:val="normal"/>
        <w:numPr>
          <w:ilvl w:val="0"/>
          <w:numId w:val="9"/>
        </w:numPr>
        <w:spacing w:before="0" w:after="111" w:line="253" w:lineRule="auto"/>
        <w:ind w:left="1627" w:hanging="360"/>
      </w:pPr>
      <w:r>
        <w:rPr/>
        <w:t xml:space="preserve">Being responsible for any aspect of laundry or dry cleaning; </w:t>
      </w:r>
    </w:p>
    <w:p>
      <w:pPr>
        <w:pStyle w:val="normal"/>
        <w:numPr>
          <w:ilvl w:val="0"/>
          <w:numId w:val="9"/>
        </w:numPr>
        <w:spacing w:before="0" w:after="111" w:line="253" w:lineRule="auto"/>
        <w:ind w:left="1627" w:hanging="360"/>
      </w:pPr>
      <w:r>
        <w:rPr/>
        <w:t xml:space="preserve">The making or distribution of any payments; or, </w:t>
      </w:r>
    </w:p>
    <w:p>
      <w:pPr>
        <w:pStyle w:val="normal"/>
        <w:numPr>
          <w:ilvl w:val="0"/>
          <w:numId w:val="9"/>
        </w:numPr>
        <w:spacing w:before="0" w:after="136" w:line="253" w:lineRule="auto"/>
        <w:ind w:left="1627" w:hanging="360"/>
      </w:pPr>
      <w:r>
        <w:rPr/>
        <w:t xml:space="preserve">Doing janitorial, custodial, or building maintenance work including, but not limited to, securing and locking any part of the theatre or backstage areas. </w:t>
      </w:r>
    </w:p>
    <w:p>
      <w:pPr>
        <w:pStyle w:val="heading1"/>
        <w:spacing w:before="0" w:after="125" w:line="259" w:lineRule="auto"/>
        <w:ind w:left="386" w:hanging="401"/>
      </w:pPr>
      <w:bookmarkStart w:id="8994" w:name="_Toc8994"/>
      <w:r>
        <w:rPr/>
        <w:t xml:space="preserve">DEPUTIES </w:t>
      </w:r>
      <w:bookmarkEnd w:id="8994"/>
    </w:p>
    <w:p>
      <w:pPr>
        <w:pStyle w:val="normal"/>
        <w:numPr>
          <w:ilvl w:val="0"/>
          <w:numId w:val="10"/>
        </w:numPr>
        <w:spacing w:before="0" w:after="111" w:line="253" w:lineRule="auto"/>
        <w:ind w:left="745" w:hanging="400"/>
      </w:pPr>
      <w:r>
        <w:rPr/>
        <w:t xml:space="preserve">Each Code production must have an Equity Deputy elected by a secret ballot at the first rehearsal with all and only AEA company members present.  The Deputy will note the election on the Election Sheet and forward it to AEA. </w:t>
      </w:r>
    </w:p>
    <w:p>
      <w:pPr>
        <w:pStyle w:val="normal"/>
        <w:numPr>
          <w:ilvl w:val="0"/>
          <w:numId w:val="10"/>
        </w:numPr>
        <w:spacing w:before="0" w:after="111" w:line="253" w:lineRule="auto"/>
        <w:ind w:left="745" w:hanging="400"/>
      </w:pPr>
      <w:r>
        <w:rPr/>
        <w:t xml:space="preserve">The Deputy shall advise AEA members to become familiar with the Code. </w:t>
      </w:r>
    </w:p>
    <w:p>
      <w:pPr>
        <w:pStyle w:val="normal"/>
        <w:numPr>
          <w:ilvl w:val="0"/>
          <w:numId w:val="10"/>
        </w:numPr>
        <w:spacing w:before="0" w:after="135" w:line="253" w:lineRule="auto"/>
        <w:ind w:left="745" w:hanging="400"/>
      </w:pPr>
      <w:r>
        <w:rPr/>
        <w:t xml:space="preserve">The Deputy shall report immediately to AEA any alleged infringements of the Code. </w:t>
      </w:r>
    </w:p>
    <w:p>
      <w:pPr>
        <w:pStyle w:val="heading1"/>
        <w:spacing w:before="0" w:after="125" w:line="259" w:lineRule="auto"/>
        <w:ind w:left="385" w:hanging="400"/>
      </w:pPr>
      <w:bookmarkStart w:id="8995" w:name="_Toc8995"/>
      <w:r>
        <w:rPr/>
        <w:t xml:space="preserve">REHEARSAL CONDITIONS </w:t>
      </w:r>
      <w:bookmarkEnd w:id="8995"/>
    </w:p>
    <w:p>
      <w:pPr>
        <w:pStyle w:val="normal"/>
        <w:numPr>
          <w:ilvl w:val="0"/>
          <w:numId w:val="11"/>
        </w:numPr>
        <w:spacing w:before="0" w:after="111" w:line="253" w:lineRule="auto"/>
        <w:ind w:left="355"/>
      </w:pPr>
      <w:r>
        <w:rPr>
          <w:rFonts w:cs="Arial" w:hAnsi="Arial" w:eastAsia="Arial" w:ascii="Arial"/>
          <w:b w:val="1"/>
        </w:rPr>
        <w:t xml:space="preserve">Signing</w:t>
      </w:r>
      <w:r>
        <w:rPr/>
        <w:t xml:space="preserve">. The Signature Page must be signed by all AEA company members prior to or at the first rehearsal and filed by the Producer with Equity within the first week. Members joining the company after rehearsals begin must sign a Signature Page prior to the commencement of their rehearsal. </w:t>
      </w:r>
    </w:p>
    <w:p>
      <w:pPr>
        <w:pStyle w:val="normal"/>
        <w:numPr>
          <w:ilvl w:val="0"/>
          <w:numId w:val="11"/>
        </w:numPr>
        <w:spacing w:before="0" w:after="111" w:line="253" w:lineRule="auto"/>
        <w:ind w:left="355"/>
      </w:pPr>
      <w:r>
        <w:rPr>
          <w:rFonts w:cs="Arial" w:hAnsi="Arial" w:eastAsia="Arial" w:ascii="Arial"/>
          <w:b w:val="1"/>
        </w:rPr>
        <w:t xml:space="preserve">Maximum Rehearsal</w:t>
      </w:r>
      <w:r>
        <w:rPr/>
        <w:t xml:space="preserve">. The rehearsal period of the Code production shall not exceed a total of 128 hours scheduled over a maximum of five consecutive weeks.  Rehearsal for Showcase Code productions will be limited to 32 hours per week.  Musical productions may use 5 additional hours for learning music during the first or second week of rehearsal. </w:t>
      </w:r>
    </w:p>
    <w:p>
      <w:pPr>
        <w:pStyle w:val="normal"/>
        <w:numPr>
          <w:ilvl w:val="0"/>
          <w:numId w:val="11"/>
        </w:numPr>
        <w:spacing w:before="0" w:after="111" w:line="253" w:lineRule="auto"/>
        <w:ind w:left="355"/>
      </w:pPr>
      <w:r>
        <w:rPr>
          <w:rFonts w:cs="Arial" w:hAnsi="Arial" w:eastAsia="Arial" w:ascii="Arial"/>
          <w:b w:val="1"/>
        </w:rPr>
        <w:t xml:space="preserve">Scheduling</w:t>
      </w:r>
      <w:r>
        <w:rPr/>
        <w:t xml:space="preserve">. All rehearsals shall be scheduled subject to the Actor’s availability. No rehearsal for AEA members may be scheduled during an AEA Membership Meeting unless the day of a meeting coincides with the opening night. (D) </w:t>
      </w:r>
      <w:r>
        <w:rPr>
          <w:rFonts w:cs="Arial" w:hAnsi="Arial" w:eastAsia="Arial" w:ascii="Arial"/>
          <w:b w:val="1"/>
        </w:rPr>
        <w:t xml:space="preserve">Hours of Rehearsal </w:t>
      </w:r>
    </w:p>
    <w:p>
      <w:pPr>
        <w:pStyle w:val="normal"/>
        <w:numPr>
          <w:ilvl w:val="1"/>
          <w:numId w:val="11"/>
        </w:numPr>
        <w:spacing w:before="0" w:after="111" w:line="253" w:lineRule="auto"/>
        <w:ind w:left="730"/>
      </w:pPr>
      <w:r>
        <w:rPr>
          <w:rFonts w:cs="Arial" w:hAnsi="Arial" w:eastAsia="Arial" w:ascii="Arial"/>
          <w:b w:val="1"/>
        </w:rPr>
        <w:t xml:space="preserve">Prior to Opening</w:t>
      </w:r>
      <w:r>
        <w:rPr/>
        <w:t xml:space="preserve">. Actors and Stage Managers shall rehearse no more than six hours on any given day except during the final week of rehearsal when the director may schedule three eight-hour days. On the day of the first public performance, rehearsal shall terminate at least one hour before the half-hour of the scheduled performance. The combined rehearsal and performance time shall not exceed eight hours. </w:t>
      </w:r>
    </w:p>
    <w:p>
      <w:pPr>
        <w:pStyle w:val="normal"/>
        <w:numPr>
          <w:ilvl w:val="1"/>
          <w:numId w:val="11"/>
        </w:numPr>
        <w:spacing w:before="0" w:after="111" w:line="253" w:lineRule="auto"/>
        <w:ind w:left="730"/>
      </w:pPr>
      <w:r>
        <w:rPr>
          <w:rFonts w:cs="Arial" w:hAnsi="Arial" w:eastAsia="Arial" w:ascii="Arial"/>
          <w:b w:val="1"/>
        </w:rPr>
        <w:t xml:space="preserve">After Opening</w:t>
      </w:r>
      <w:r>
        <w:rPr/>
        <w:t xml:space="preserve">. Rehearsals may not be called after the first public performance without the consent of the Actors involved. Such rehearsals will be scheduled at the Actors’ availability. </w:t>
      </w:r>
    </w:p>
    <w:p>
      <w:pPr>
        <w:pStyle w:val="normal"/>
        <w:numPr>
          <w:ilvl w:val="2"/>
          <w:numId w:val="11"/>
        </w:numPr>
        <w:spacing w:before="0" w:after="111" w:line="253" w:lineRule="auto"/>
        <w:ind w:left="813"/>
      </w:pPr>
      <w:r>
        <w:rPr/>
        <w:t xml:space="preserve">On a performance day the rehearsal shall terminate at least one hour before the half-hour of the scheduled performance. The combined rehearsal and performance time shall not exceed six hours. </w:t>
      </w:r>
    </w:p>
    <w:p>
      <w:pPr>
        <w:pStyle w:val="normal"/>
        <w:numPr>
          <w:ilvl w:val="2"/>
          <w:numId w:val="11"/>
        </w:numPr>
        <w:spacing w:before="0" w:after="111" w:line="253" w:lineRule="auto"/>
        <w:ind w:left="813"/>
      </w:pPr>
      <w:r>
        <w:rPr/>
        <w:t xml:space="preserve">Rehearsals consented to by the Actors on non-performance days shall not exceed three hours. (E) </w:t>
      </w:r>
      <w:r>
        <w:rPr>
          <w:rFonts w:cs="Arial" w:hAnsi="Arial" w:eastAsia="Arial" w:ascii="Arial"/>
          <w:b w:val="1"/>
        </w:rPr>
        <w:t xml:space="preserve">Breaks </w:t>
      </w:r>
    </w:p>
    <w:p>
      <w:pPr>
        <w:pStyle w:val="normal"/>
        <w:numPr>
          <w:ilvl w:val="1"/>
          <w:numId w:val="12"/>
        </w:numPr>
        <w:spacing w:before="0" w:after="111" w:line="253" w:lineRule="auto"/>
        <w:ind w:left="730"/>
      </w:pPr>
      <w:r>
        <w:rPr>
          <w:rFonts w:cs="Arial" w:hAnsi="Arial" w:eastAsia="Arial" w:ascii="Arial"/>
          <w:b w:val="1"/>
        </w:rPr>
        <w:t xml:space="preserve">Rehearsal Breaks</w:t>
      </w:r>
      <w:r>
        <w:rPr/>
        <w:t xml:space="preserve">: There shall be a five-minute break after 55 minutes of rehearsal or a 10-minute break at the conclusion of 80 minutes of rehearsal. </w:t>
      </w:r>
    </w:p>
    <w:p>
      <w:pPr>
        <w:pStyle w:val="normal"/>
        <w:numPr>
          <w:ilvl w:val="1"/>
          <w:numId w:val="12"/>
        </w:numPr>
        <w:spacing w:before="0" w:after="111" w:line="253" w:lineRule="auto"/>
        <w:ind w:left="730"/>
      </w:pPr>
      <w:r>
        <w:rPr>
          <w:rFonts w:cs="Arial" w:hAnsi="Arial" w:eastAsia="Arial" w:ascii="Arial"/>
          <w:b w:val="1"/>
        </w:rPr>
        <w:t xml:space="preserve">Meal Break</w:t>
      </w:r>
      <w:r>
        <w:rPr/>
        <w:t xml:space="preserve">. Actors shall not rehearse more than five consecutive hours without a meal break of at least one hour. </w:t>
      </w:r>
    </w:p>
    <w:p>
      <w:pPr>
        <w:pStyle w:val="normal"/>
        <w:numPr>
          <w:ilvl w:val="0"/>
          <w:numId w:val="13"/>
        </w:numPr>
        <w:spacing w:before="0" w:after="111" w:line="253" w:lineRule="auto"/>
        <w:ind w:left="355"/>
      </w:pPr>
      <w:r>
        <w:rPr>
          <w:rFonts w:cs="Arial" w:hAnsi="Arial" w:eastAsia="Arial" w:ascii="Arial"/>
          <w:b w:val="1"/>
        </w:rPr>
        <w:t xml:space="preserve">Rest Period</w:t>
      </w:r>
      <w:r>
        <w:rPr/>
        <w:t xml:space="preserve">. There shall be a 12-hour rest period between the end of rehearsal or performance on one day and the beginning of rehearsal or performance on the next day, except for the rest period preceding the day of the first paid public performance, when the rest period may be 10 hours. </w:t>
      </w:r>
    </w:p>
    <w:p>
      <w:pPr>
        <w:pStyle w:val="normal"/>
        <w:numPr>
          <w:ilvl w:val="0"/>
          <w:numId w:val="13"/>
        </w:numPr>
        <w:spacing w:before="0" w:after="111" w:line="253" w:lineRule="auto"/>
        <w:ind w:left="355"/>
      </w:pPr>
      <w:r>
        <w:rPr>
          <w:rFonts w:cs="Arial" w:hAnsi="Arial" w:eastAsia="Arial" w:ascii="Arial"/>
          <w:b w:val="1"/>
        </w:rPr>
        <w:t xml:space="preserve">Days Off</w:t>
      </w:r>
      <w:r>
        <w:rPr/>
        <w:t xml:space="preserve">. There shall be one full day off after every six days of rehearsal and/or performance. </w:t>
      </w:r>
    </w:p>
    <w:p>
      <w:pPr>
        <w:pStyle w:val="normal"/>
        <w:numPr>
          <w:ilvl w:val="0"/>
          <w:numId w:val="13"/>
        </w:numPr>
        <w:spacing w:before="0" w:after="111" w:line="253" w:lineRule="auto"/>
        <w:ind w:left="355"/>
      </w:pPr>
      <w:r>
        <w:rPr>
          <w:rFonts w:cs="Arial" w:hAnsi="Arial" w:eastAsia="Arial" w:ascii="Arial"/>
          <w:b w:val="1"/>
        </w:rPr>
        <w:t xml:space="preserve">Stage Fights</w:t>
      </w:r>
      <w:r>
        <w:rPr/>
        <w:t xml:space="preserve">. Any staged fights (including but not limited to slaps, kicks, punches, faints, falls, or any use of weaponry) will require the participation of a qualified fight captain. </w:t>
      </w:r>
    </w:p>
    <w:p>
      <w:pPr>
        <w:pStyle w:val="normal"/>
        <w:spacing w:before="0" w:after="111" w:line="253" w:lineRule="auto"/>
        <w:ind w:left="355"/>
      </w:pPr>
      <w:r>
        <w:rPr/>
        <w:t xml:space="preserve">Extended fight scenes or scenes requiring the use of weaponry may require a fight coordinator when staged. If the fight captain or fight coordinator’s qualifications are an issue, the matter shall be resolved by Equity, whose determination shall be final and binding. </w:t>
      </w:r>
    </w:p>
    <w:p>
      <w:pPr>
        <w:pStyle w:val="normal"/>
        <w:numPr>
          <w:ilvl w:val="0"/>
          <w:numId w:val="13"/>
        </w:numPr>
        <w:spacing w:before="0" w:after="135" w:line="253" w:lineRule="auto"/>
        <w:ind w:left="355"/>
      </w:pPr>
      <w:r>
        <w:rPr/>
        <w:t xml:space="preserve">There must be a fight rehearsal with all Actors involved, including the Stage Manager and fight captain, immediately prior to the half-hour of each performance of said production. </w:t>
      </w:r>
    </w:p>
    <w:p>
      <w:pPr>
        <w:pStyle w:val="heading1"/>
        <w:spacing w:before="0" w:after="125" w:line="259" w:lineRule="auto"/>
        <w:ind w:left="386" w:hanging="401"/>
      </w:pPr>
      <w:bookmarkStart w:id="8996" w:name="_Toc8996"/>
      <w:r>
        <w:rPr/>
        <w:t xml:space="preserve">PRESENTATION CONDITIONS </w:t>
      </w:r>
      <w:bookmarkEnd w:id="8996"/>
    </w:p>
    <w:p>
      <w:pPr>
        <w:pStyle w:val="normal"/>
        <w:numPr>
          <w:ilvl w:val="0"/>
          <w:numId w:val="14"/>
        </w:numPr>
        <w:spacing w:before="0" w:after="111" w:line="253" w:lineRule="auto"/>
        <w:ind w:left="718" w:hanging="373"/>
      </w:pPr>
      <w:r>
        <w:rPr/>
        <w:t xml:space="preserve">Productions mounted under the terms of this Code shall not be presented in any theatre, auditorium or hall, which is listed by AEA as a Contract House. </w:t>
      </w:r>
    </w:p>
    <w:p>
      <w:pPr>
        <w:pStyle w:val="normal"/>
        <w:numPr>
          <w:ilvl w:val="0"/>
          <w:numId w:val="14"/>
        </w:numPr>
        <w:spacing w:before="0" w:after="111" w:line="253" w:lineRule="auto"/>
        <w:ind w:left="718" w:hanging="373"/>
      </w:pPr>
      <w:r>
        <w:rPr/>
        <w:t xml:space="preserve">No person engaged in any creative capacity for any Code production shall receive more remuneration than any AEA member. </w:t>
      </w:r>
    </w:p>
    <w:p>
      <w:pPr>
        <w:pStyle w:val="normal"/>
        <w:numPr>
          <w:ilvl w:val="0"/>
          <w:numId w:val="14"/>
        </w:numPr>
        <w:spacing w:before="0" w:after="111" w:line="253" w:lineRule="auto"/>
        <w:ind w:left="718" w:hanging="373"/>
      </w:pPr>
      <w:r>
        <w:rPr/>
        <w:t xml:space="preserve">The Producer will reimburse each member for expenses incurred in connection with the production.  Reimbursable expenses may include, but are not limited to, use, cleaning, or upkeep of personal items used in the production. (See also Rule 8(I).) </w:t>
      </w:r>
    </w:p>
    <w:p>
      <w:pPr>
        <w:pStyle w:val="normal"/>
        <w:numPr>
          <w:ilvl w:val="1"/>
          <w:numId w:val="14"/>
        </w:numPr>
        <w:spacing w:before="0" w:after="111" w:line="253" w:lineRule="auto"/>
        <w:ind w:left="730"/>
      </w:pPr>
      <w:r>
        <w:rPr/>
        <w:t xml:space="preserve">Payments of no less than minimum public transportation cost shall be made on a weekly basis. </w:t>
      </w:r>
    </w:p>
    <w:p>
      <w:pPr>
        <w:pStyle w:val="normal"/>
        <w:numPr>
          <w:ilvl w:val="1"/>
          <w:numId w:val="14"/>
        </w:numPr>
        <w:spacing w:before="0" w:after="111" w:line="253" w:lineRule="auto"/>
        <w:ind w:left="730"/>
      </w:pPr>
      <w:r>
        <w:rPr/>
        <w:t xml:space="preserve">All requests for reimbursement shall be made prior to the final Code performance.  Reimbursement for other expenditures shall be paid immediately upon proof of expenditure to the Producer or his representative.  </w:t>
      </w:r>
    </w:p>
    <w:p>
      <w:pPr>
        <w:pStyle w:val="normal"/>
        <w:numPr>
          <w:ilvl w:val="1"/>
          <w:numId w:val="14"/>
        </w:numPr>
        <w:spacing w:before="0" w:after="111" w:line="253" w:lineRule="auto"/>
        <w:ind w:left="730"/>
      </w:pPr>
      <w:r>
        <w:rPr/>
        <w:t xml:space="preserve">Since an Equity bond is not required for the use of this Code, Actors should notify Equity immediately in the event expenses are not paid pursuant to the Code. </w:t>
      </w:r>
    </w:p>
    <w:p>
      <w:pPr>
        <w:pStyle w:val="normal"/>
        <w:numPr>
          <w:ilvl w:val="0"/>
          <w:numId w:val="14"/>
        </w:numPr>
        <w:spacing w:before="0" w:after="111" w:line="253" w:lineRule="auto"/>
        <w:ind w:left="718" w:hanging="373"/>
      </w:pPr>
      <w:r>
        <w:rPr/>
        <w:t xml:space="preserve">The Producer agrees to exercise best efforts to provide a safe and sanitary work place under the guidance of Actors’ Equity Association.  (See also Rule 13.)   </w:t>
      </w:r>
    </w:p>
    <w:p>
      <w:pPr>
        <w:pStyle w:val="normal"/>
        <w:numPr>
          <w:ilvl w:val="0"/>
          <w:numId w:val="14"/>
        </w:numPr>
        <w:spacing w:before="0" w:after="111" w:line="253" w:lineRule="auto"/>
        <w:ind w:left="718" w:hanging="373"/>
      </w:pPr>
      <w:r>
        <w:rPr/>
        <w:t xml:space="preserve">Changes in the starting date of the rehearsal period or in performance schedule may not be made without written permission from AEA.   </w:t>
      </w:r>
    </w:p>
    <w:p>
      <w:pPr>
        <w:pStyle w:val="normal"/>
        <w:numPr>
          <w:ilvl w:val="0"/>
          <w:numId w:val="14"/>
        </w:numPr>
        <w:spacing w:before="0" w:after="111" w:line="253" w:lineRule="auto"/>
        <w:ind w:left="718" w:hanging="373"/>
      </w:pPr>
      <w:r>
        <w:rPr/>
        <w:t xml:space="preserve">The Producer must notify AEA in writing when a cast change is made.  </w:t>
      </w:r>
    </w:p>
    <w:p>
      <w:pPr>
        <w:pStyle w:val="normal"/>
        <w:numPr>
          <w:ilvl w:val="0"/>
          <w:numId w:val="14"/>
        </w:numPr>
        <w:spacing w:before="0" w:after="111" w:line="253" w:lineRule="auto"/>
        <w:ind w:left="718" w:hanging="373"/>
      </w:pPr>
      <w:r>
        <w:rPr/>
        <w:t xml:space="preserve">An AEA member may not be required to relinquish a performance without AEA’s express permission.  In no event shall the Producer compel any Equity Actor to relinquish any performance to an understudy or standby, unless such a request is previously agreed to in writing at the signing of the Code and such agreement would be subject to the approval of Equity. </w:t>
      </w:r>
    </w:p>
    <w:p>
      <w:pPr>
        <w:pStyle w:val="normal"/>
        <w:numPr>
          <w:ilvl w:val="0"/>
          <w:numId w:val="14"/>
        </w:numPr>
        <w:spacing w:before="0" w:after="136" w:line="253" w:lineRule="auto"/>
        <w:ind w:left="718" w:hanging="373"/>
      </w:pPr>
      <w:r>
        <w:rPr/>
        <w:t xml:space="preserve">The Producer shall post and provide to the AEA members, within 24 hours of each performance, a list of all holders of industry “comps” including addresses and phone numbers and date of performance attended. </w:t>
      </w:r>
    </w:p>
    <w:p>
      <w:pPr>
        <w:pStyle w:val="heading1"/>
        <w:spacing w:before="0" w:after="125" w:line="259" w:lineRule="auto"/>
        <w:ind w:left="386" w:hanging="401"/>
      </w:pPr>
      <w:bookmarkStart w:id="8997" w:name="_Toc8997"/>
      <w:r>
        <w:rPr/>
        <w:t xml:space="preserve">SAFE AND SANITARY </w:t>
      </w:r>
      <w:bookmarkEnd w:id="8997"/>
    </w:p>
    <w:p>
      <w:pPr>
        <w:pStyle w:val="normal"/>
        <w:numPr>
          <w:ilvl w:val="0"/>
          <w:numId w:val="15"/>
        </w:numPr>
        <w:spacing w:before="0" w:after="111" w:line="253" w:lineRule="auto"/>
        <w:ind w:left="355"/>
      </w:pPr>
      <w:r>
        <w:rPr>
          <w:rFonts w:cs="Arial" w:hAnsi="Arial" w:eastAsia="Arial" w:ascii="Arial"/>
          <w:b w:val="1"/>
        </w:rPr>
        <w:t xml:space="preserve">Venue Conditions</w:t>
      </w:r>
      <w:r>
        <w:rPr/>
        <w:t xml:space="preserve">.  Actors may not rehearse nor perform on any premises which lack adequate sanitary facilities (i.e., a working toilet and washbasin) or which do not comply with New York City and State fire laws. </w:t>
      </w:r>
    </w:p>
    <w:p>
      <w:pPr>
        <w:pStyle w:val="normal"/>
        <w:numPr>
          <w:ilvl w:val="0"/>
          <w:numId w:val="15"/>
        </w:numPr>
        <w:spacing w:before="0" w:after="111" w:line="253" w:lineRule="auto"/>
        <w:ind w:left="355"/>
      </w:pPr>
      <w:r>
        <w:rPr>
          <w:rFonts w:cs="Arial" w:hAnsi="Arial" w:eastAsia="Arial" w:ascii="Arial"/>
          <w:b w:val="1"/>
        </w:rPr>
        <w:t xml:space="preserve">Smoke and Fog</w:t>
      </w:r>
      <w:r>
        <w:rPr/>
        <w:t xml:space="preserve">.  The use of chemical smoke and fog, including mineral oil, is </w:t>
      </w:r>
      <w:r>
        <w:rPr>
          <w:rFonts w:cs="Arial" w:hAnsi="Arial" w:eastAsia="Arial" w:ascii="Arial"/>
          <w:b w:val="1"/>
          <w:i w:val="1"/>
        </w:rPr>
        <w:t xml:space="preserve">strictly prohibited</w:t>
      </w:r>
      <w:r>
        <w:rPr/>
        <w:t xml:space="preserve">.   </w:t>
      </w:r>
    </w:p>
    <w:p>
      <w:pPr>
        <w:pStyle w:val="normal"/>
        <w:numPr>
          <w:ilvl w:val="0"/>
          <w:numId w:val="15"/>
        </w:numPr>
        <w:spacing w:before="0" w:after="111" w:line="253" w:lineRule="auto"/>
        <w:ind w:left="355"/>
      </w:pPr>
      <w:r>
        <w:rPr/>
        <w:t xml:space="preserve">Equity will allow the use of carbon dioxide and liquid nitrogen, as they are generally regarded as safe.  However, they may only be used in small amounts and the stage and backstage areas must be properly ventilated.  Special precautions must be in place to ensure that the stage does not become slippery from the condensation these fogs produce. </w:t>
      </w:r>
    </w:p>
    <w:p>
      <w:pPr>
        <w:pStyle w:val="normal"/>
        <w:numPr>
          <w:ilvl w:val="0"/>
          <w:numId w:val="15"/>
        </w:numPr>
        <w:spacing w:before="0" w:after="136" w:line="253" w:lineRule="auto"/>
        <w:ind w:left="355"/>
      </w:pPr>
      <w:r>
        <w:rPr>
          <w:rFonts w:cs="Arial" w:hAnsi="Arial" w:eastAsia="Arial" w:ascii="Arial"/>
          <w:b w:val="1"/>
        </w:rPr>
        <w:t xml:space="preserve">Inclined Playing Surfaces</w:t>
      </w:r>
      <w:r>
        <w:rPr/>
        <w:t xml:space="preserve">.  No raked stage, or other inclined playing surface will be permitted. </w:t>
      </w:r>
    </w:p>
    <w:p>
      <w:pPr>
        <w:pStyle w:val="heading1"/>
        <w:spacing w:before="0" w:after="125" w:line="259" w:lineRule="auto"/>
        <w:ind w:left="385" w:hanging="400"/>
      </w:pPr>
      <w:bookmarkStart w:id="8998" w:name="_Toc8998"/>
      <w:r>
        <w:rPr/>
        <w:t xml:space="preserve">PUBLICITY/ADVERTISING </w:t>
      </w:r>
      <w:bookmarkEnd w:id="8998"/>
    </w:p>
    <w:p>
      <w:pPr>
        <w:pStyle w:val="normal"/>
        <w:numPr>
          <w:ilvl w:val="0"/>
          <w:numId w:val="16"/>
        </w:numPr>
        <w:spacing w:before="0" w:after="111" w:line="253" w:lineRule="auto"/>
        <w:ind w:left="355"/>
      </w:pPr>
      <w:r>
        <w:rPr/>
        <w:t xml:space="preserve">Advertisements, other than paid newspaper ads or broadcast ads, including but not limited to flyers, internet, posters, postcards, brochures, and invitations, must include the phrase “Equity Approved Showcase” and the names of all AEA members involved in the production, said names to be designated by an asterisk (*) whenever they appear with the indication that Actors and Stage Managers so designated are members of Equity. </w:t>
      </w:r>
    </w:p>
    <w:p>
      <w:pPr>
        <w:pStyle w:val="normal"/>
        <w:numPr>
          <w:ilvl w:val="0"/>
          <w:numId w:val="16"/>
        </w:numPr>
        <w:spacing w:before="0" w:after="111" w:line="253" w:lineRule="auto"/>
        <w:ind w:left="355"/>
      </w:pPr>
      <w:r>
        <w:rPr/>
        <w:t xml:space="preserve">Paid newspaper and broadcast advertisements must use the phrase “Equity Approved Showcase”. In addition, should any names be used in such ads, other than the names of the theatre, play and author, then the names of all AEA members of the company must be included. </w:t>
      </w:r>
    </w:p>
    <w:p>
      <w:pPr>
        <w:pStyle w:val="heading2"/>
        <w:spacing w:before="0" w:after="125" w:line="259" w:lineRule="auto"/>
        <w:ind w:left="370"/>
      </w:pPr>
      <w:r>
        <w:rPr>
          <w:rFonts w:cs="Arial" w:hAnsi="Arial" w:eastAsia="Arial" w:ascii="Arial"/>
          <w:b w:val="0"/>
        </w:rPr>
        <w:t xml:space="preserve">(C) </w:t>
      </w:r>
      <w:r>
        <w:rPr/>
        <w:t xml:space="preserve">Programs </w:t>
      </w:r>
    </w:p>
    <w:p>
      <w:pPr>
        <w:pStyle w:val="normal"/>
        <w:numPr>
          <w:ilvl w:val="0"/>
          <w:numId w:val="17"/>
        </w:numPr>
        <w:spacing w:before="0" w:after="111" w:line="253" w:lineRule="auto"/>
        <w:ind w:left="730"/>
      </w:pPr>
      <w:r>
        <w:rPr/>
        <w:t xml:space="preserve">The Producer must supply a free program to each audience member and by the first public performance shall file a copy with AEA. </w:t>
      </w:r>
    </w:p>
    <w:p>
      <w:pPr>
        <w:pStyle w:val="normal"/>
        <w:numPr>
          <w:ilvl w:val="0"/>
          <w:numId w:val="17"/>
        </w:numPr>
        <w:spacing w:before="0" w:after="111" w:line="253" w:lineRule="auto"/>
        <w:ind w:left="730"/>
      </w:pPr>
      <w:r>
        <w:rPr/>
        <w:t xml:space="preserve">An asterisk (*) must be placed next to the name of each AEA member involved in the production with the following program note: </w:t>
      </w:r>
    </w:p>
    <w:p>
      <w:pPr>
        <w:pStyle w:val="normal"/>
        <w:spacing w:before="0" w:after="111" w:line="253" w:lineRule="auto"/>
        <w:ind w:left="1090"/>
      </w:pPr>
      <w:r>
        <w:rPr/>
        <w:t xml:space="preserve">“*Equity Member appearing with permission of Actors’ Equity Association without benefit of an Equity contract in this Off-Off Broadway production.” </w:t>
      </w:r>
    </w:p>
    <w:p>
      <w:pPr>
        <w:numPr>
          <w:ilvl w:val="0"/>
          <w:numId w:val="17"/>
        </w:numPr>
        <w:spacing w:before="0" w:after="120" w:line="247" w:lineRule="auto"/>
        <w:ind w:left="730"/>
      </w:pPr>
      <w:r>
        <w:rPr/>
        <w:t xml:space="preserve">Each program must also include a biography of each AEA member, including replacements, who shall have final approval of all biographical material contained therein. </w:t>
      </w:r>
    </w:p>
    <w:p>
      <w:pPr>
        <w:pStyle w:val="normal"/>
        <w:numPr>
          <w:ilvl w:val="0"/>
          <w:numId w:val="18"/>
        </w:numPr>
        <w:spacing w:before="0" w:after="111" w:line="253" w:lineRule="auto"/>
        <w:ind w:left="355"/>
      </w:pPr>
      <w:r>
        <w:rPr>
          <w:rFonts w:cs="Arial" w:hAnsi="Arial" w:eastAsia="Arial" w:ascii="Arial"/>
          <w:b w:val="1"/>
        </w:rPr>
        <w:t xml:space="preserve">Front of the House Publicity</w:t>
      </w:r>
      <w:r>
        <w:rPr/>
        <w:t xml:space="preserve">. An “8x10” photo of each Actor in the production, including temporary replacements, with the Actor’s name and role(s) played in the production, must be prominently displayed.  </w:t>
      </w:r>
    </w:p>
    <w:p>
      <w:pPr>
        <w:pStyle w:val="normal"/>
        <w:numPr>
          <w:ilvl w:val="0"/>
          <w:numId w:val="18"/>
        </w:numPr>
        <w:spacing w:before="0" w:after="136" w:line="253" w:lineRule="auto"/>
        <w:ind w:left="355"/>
      </w:pPr>
      <w:r>
        <w:rPr>
          <w:rFonts w:cs="Arial" w:hAnsi="Arial" w:eastAsia="Arial" w:ascii="Arial"/>
          <w:b w:val="1"/>
        </w:rPr>
        <w:t xml:space="preserve">Photos</w:t>
      </w:r>
      <w:r>
        <w:rPr/>
        <w:t xml:space="preserve">. Individual and rehearsal or production photographs may be used for the sole purpose of publicizing and advertising this production of the play.  Photographs shall not be used in conjunction with any commercial product offered for sale without the prior written authorization of the Actor and of AEA.  </w:t>
      </w:r>
    </w:p>
    <w:p>
      <w:pPr>
        <w:pStyle w:val="heading1"/>
        <w:spacing w:before="0" w:after="125" w:line="259" w:lineRule="auto"/>
        <w:ind w:left="386" w:hanging="401"/>
      </w:pPr>
      <w:bookmarkStart w:id="8999" w:name="_Toc8999"/>
      <w:r>
        <w:rPr/>
        <w:t xml:space="preserve">TICKETS/“COMPS” </w:t>
      </w:r>
      <w:bookmarkEnd w:id="8999"/>
    </w:p>
    <w:p>
      <w:pPr>
        <w:pStyle w:val="normal"/>
        <w:numPr>
          <w:ilvl w:val="0"/>
          <w:numId w:val="19"/>
        </w:numPr>
        <w:spacing w:before="0" w:after="111" w:line="253" w:lineRule="auto"/>
        <w:ind w:left="745" w:hanging="400"/>
      </w:pPr>
      <w:r>
        <w:rPr/>
        <w:t xml:space="preserve">AEA members shall, upon presentation of a paid-up AEA membership card, be admitted to the theatre, at no cost, on a stand-by basis. </w:t>
      </w:r>
    </w:p>
    <w:p>
      <w:pPr>
        <w:pStyle w:val="normal"/>
        <w:numPr>
          <w:ilvl w:val="0"/>
          <w:numId w:val="19"/>
        </w:numPr>
        <w:spacing w:before="0" w:after="111" w:line="253" w:lineRule="auto"/>
        <w:ind w:left="745" w:hanging="400"/>
      </w:pPr>
      <w:r>
        <w:rPr/>
        <w:t xml:space="preserve">Industry complimentary tickets (“comps”) shall be made available to Equity franchised agents, bona fide casting directors, professional producers, playwrights, choreographers, and directors.  Such persons must be seated upon their arrival at the theatre. </w:t>
      </w:r>
    </w:p>
    <w:p>
      <w:pPr>
        <w:pStyle w:val="normal"/>
        <w:numPr>
          <w:ilvl w:val="0"/>
          <w:numId w:val="19"/>
        </w:numPr>
        <w:spacing w:before="0" w:after="111" w:line="253" w:lineRule="auto"/>
        <w:ind w:left="745" w:hanging="400"/>
      </w:pPr>
      <w:r>
        <w:rPr/>
        <w:t xml:space="preserve">The Producer shall post and provide to the AEA members, within 24 hours of each performance, a list of all holders of industry “comps” including addresses, phone numbers and date of performance attended.</w:t>
      </w:r>
      <w:r>
        <w:rPr>
          <w:rFonts w:cs="Arial" w:hAnsi="Arial" w:eastAsia="Arial" w:ascii="Arial"/>
          <w:b w:val="1"/>
        </w:rPr>
        <w:t xml:space="preserve">  </w:t>
      </w:r>
    </w:p>
    <w:p>
      <w:pPr>
        <w:pStyle w:val="normal"/>
        <w:numPr>
          <w:ilvl w:val="0"/>
          <w:numId w:val="19"/>
        </w:numPr>
        <w:spacing w:before="0" w:after="135" w:line="253" w:lineRule="auto"/>
        <w:ind w:left="745" w:hanging="400"/>
      </w:pPr>
      <w:r>
        <w:rPr/>
        <w:t xml:space="preserve">Each AEA cast member shall receive two (2) complimentary tickets per production. </w:t>
      </w:r>
    </w:p>
    <w:p>
      <w:pPr>
        <w:pStyle w:val="heading1"/>
        <w:spacing w:before="0" w:after="125" w:line="259" w:lineRule="auto"/>
        <w:ind w:left="386" w:hanging="401"/>
      </w:pPr>
      <w:bookmarkStart w:id="9000" w:name="_Toc9000"/>
      <w:r>
        <w:rPr/>
        <w:t xml:space="preserve">RIGHTS RESERVED </w:t>
      </w:r>
      <w:bookmarkEnd w:id="9000"/>
    </w:p>
    <w:p>
      <w:pPr>
        <w:pStyle w:val="normal"/>
        <w:spacing w:before="0" w:after="111" w:line="253" w:lineRule="auto"/>
        <w:ind w:left="10"/>
      </w:pPr>
      <w:r>
        <w:rPr/>
        <w:t xml:space="preserve">Equity reserves the rights to re-evaluate, amend, and modify this Code and to take such action, as it may deem appropriate. </w:t>
      </w:r>
    </w:p>
    <w:p>
      <w:pPr>
        <w:spacing w:before="0" w:after="106" w:line="259" w:lineRule="auto"/>
        <w:ind w:left="0" w:firstLine="0"/>
        <w:jc w:val="left"/>
      </w:pPr>
      <w:r>
        <w:rPr/>
        <w:t xml:space="preserve"> </w:t>
      </w:r>
    </w:p>
    <w:p>
      <w:pPr>
        <w:spacing w:before="0" w:after="9" w:line="259" w:lineRule="auto"/>
        <w:ind w:left="0" w:firstLine="0"/>
        <w:jc w:val="left"/>
      </w:pPr>
      <w:r>
        <w:rPr/>
        <w:t xml:space="preserve"> </w:t>
      </w:r>
    </w:p>
    <w:p>
      <w:pPr>
        <w:spacing w:before="0" w:after="0" w:line="259" w:lineRule="auto"/>
        <w:ind w:left="0" w:firstLine="0"/>
        <w:jc w:val="left"/>
      </w:pPr>
      <w:r>
        <w:rPr>
          <w:sz w:val="20"/>
        </w:rPr>
        <w:t xml:space="preserve"> </w:t>
      </w:r>
    </w:p>
    <w:sectPr>
      <w:footerReference w:type="even" r:id="rId6"/>
      <w:footerReference w:type="default" r:id="rId5"/>
      <w:footerReference w:type="first" r:id="rId4"/>
      <w:pgSz w:w="12240" w:h="15840" w:orient="portrait"/>
      <w:pgMar w:footer="723" w:left="1296" w:top="1301" w:right="1294" w:bottom="1319"/>
      <w:pgNumType w:start="1" w:fmt="decimal"/>
      <w:cols/>
    </w:sectPr>
  </w:body>
</w:document>
</file>

<file path=word/footer1.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2.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3.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bidi w:val="0"/>
      <w:spacing w:before="0" w:after="160" w:line="259" w:lineRule="auto"/>
      <w:ind w:left="0" w:right="0" w:firstLine="0"/>
      <w:jc w:val="left"/>
    </w:pPr>
  </w:p>
</w:ftr>
</file>

<file path=word/footer4.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0" w:right="3" w:firstLine="0"/>
      <w:jc w:val="center"/>
    </w:pPr>
    <w:fldSimple w:instr=" PAGE   \* MERGEFORMAT ">
      <w:r>
        <w:rPr/>
        <w:t xml:space="preserve">1</w:t>
      </w:r>
    </w:fldSimple>
    <w:r>
      <w:rPr/>
      <w:t xml:space="preserve"> </w:t>
    </w:r>
  </w:p>
  <w:p>
    <w:pPr>
      <w:spacing w:before="0" w:after="0" w:line="259" w:lineRule="auto"/>
      <w:ind w:left="0" w:firstLine="0"/>
      <w:jc w:val="left"/>
    </w:pPr>
    <w:r>
      <w:rPr>
        <w:rFonts w:cs="Times New Roman" w:hAnsi="Times New Roman" w:eastAsia="Times New Roman" w:ascii="Times New Roman"/>
      </w:rPr>
      <w:t xml:space="preserve"> </w:t>
    </w:r>
  </w:p>
</w:ftr>
</file>

<file path=word/footer5.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0" w:right="3" w:firstLine="0"/>
      <w:jc w:val="center"/>
    </w:pPr>
    <w:fldSimple w:instr=" PAGE   \* MERGEFORMAT ">
      <w:r>
        <w:rPr/>
        <w:t xml:space="preserve">1</w:t>
      </w:r>
    </w:fldSimple>
    <w:r>
      <w:rPr/>
      <w:t xml:space="preserve"> </w:t>
    </w:r>
  </w:p>
  <w:p>
    <w:pPr>
      <w:spacing w:before="0" w:after="0" w:line="259" w:lineRule="auto"/>
      <w:ind w:left="0" w:firstLine="0"/>
      <w:jc w:val="left"/>
    </w:pPr>
    <w:r>
      <w:rPr>
        <w:rFonts w:cs="Times New Roman" w:hAnsi="Times New Roman" w:eastAsia="Times New Roman" w:ascii="Times New Roman"/>
      </w:rPr>
      <w:t xml:space="preserve"> </w:t>
    </w:r>
  </w:p>
</w:ftr>
</file>

<file path=word/footer6.xml><?xml version="1.0" encoding="utf-8"?>
<w:ftr xmlns:wp="http://schemas.openxmlformats.org/drawingml/2006/wordprocessingDrawing" xmlns:r="http://schemas.openxmlformats.org/officeDocument/2006/relationships" xmlns:a="http://schemas.openxmlformats.org/drawingml/2006/main" xmlns:wps="http://schemas.microsoft.com/office/word/2010/wordprocessingShape" xmlns:mc="http://schemas.openxmlformats.org/markup-compatibility/2006" xmlns:v="urn:schemas-microsoft-com:vml" xmlns:w10="urn:schemas-microsoft-com:office:word" xmlns:wpg="http://schemas.microsoft.com/office/word/2010/wordprocessingGroup" xmlns:w="http://schemas.openxmlformats.org/wordprocessingml/2006/main">
  <w:p>
    <w:pPr>
      <w:spacing w:before="0" w:after="0" w:line="259" w:lineRule="auto"/>
      <w:ind w:left="0" w:right="3" w:firstLine="0"/>
      <w:jc w:val="center"/>
    </w:pPr>
    <w:fldSimple w:instr=" PAGE   \* MERGEFORMAT ">
      <w:r>
        <w:rPr/>
        <w:t xml:space="preserve">1</w:t>
      </w:r>
    </w:fldSimple>
    <w:r>
      <w:rPr/>
      <w:t xml:space="preserve"> </w:t>
    </w:r>
  </w:p>
  <w:p>
    <w:pPr>
      <w:spacing w:before="0" w:after="0" w:line="259" w:lineRule="auto"/>
      <w:ind w:left="0" w:firstLine="0"/>
      <w:jc w:val="left"/>
    </w:pPr>
    <w:r>
      <w:rPr>
        <w:rFonts w:cs="Times New Roman" w:hAnsi="Times New Roman" w:eastAsia="Times New Roman" w:ascii="Times New Roman"/>
      </w:rPr>
      <w:t xml:space="preserve"> </w:t>
    </w:r>
  </w:p>
</w:ftr>
</file>

<file path=word/numbering.xml><?xml version="1.0" encoding="utf-8"?>
<w:numbering xmlns:mc="http://schemas.openxmlformats.org/markup-compatibility/2006" xmlns:w14="http://schemas.microsoft.com/office/word/2010/wordml" xmlns:wp14="http://schemas.microsoft.com/office/word/2010/wordml" xmlns:wp="http://schemas.openxmlformats.org/drawingml/2006/wordprocessingDrawing" xmlns:v="urn:schemas-microsoft-com:vml" xmlns:o="urn:schemas-microsoft-com:office:office" xmlns:r="http://schemas.openxmlformats.org/officeDocument/2006/relationships" xmlns:w="http://schemas.openxmlformats.org/wordprocessingml/2006/main" mc:Ignorable="w14 wp14">
  <w:abstractNum w:abstractNumId="0">
    <w:multiLevelType w:val="hybridMultilevel"/>
    <w:lvl w:ilvl="0">
      <w:start w:val="1"/>
      <w:numFmt w:val="upperLetter"/>
      <w:lvlText w:val="(%1)"/>
      <w:pPr>
        <w:ind w:left="732"/>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1">
    <w:multiLevelType w:val="hybridMultilevel"/>
    <w:lvl w:ilvl="0">
      <w:start w:val="1"/>
      <w:numFmt w:val="upperLetter"/>
      <w:lvlText w:val="(%1)"/>
      <w:pPr>
        <w:ind w:left="759"/>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2">
    <w:multiLevelType w:val="hybridMultilevel"/>
    <w:lvl w:ilvl="0">
      <w:start w:val="1"/>
      <w:numFmt w:val="upperLetter"/>
      <w:lvlText w:val="(%1)"/>
      <w:pPr>
        <w:ind w:left="355"/>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decimal"/>
      <w:lvlText w:val="(%2)"/>
      <w:pPr>
        <w:ind w:left="108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3">
    <w:multiLevelType w:val="hybridMultilevel"/>
    <w:lvl w:ilvl="0">
      <w:start w:val="1"/>
      <w:numFmt w:val="upperLetter"/>
      <w:lvlText w:val="(%1)"/>
      <w:pPr>
        <w:ind w:left="355"/>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4">
    <w:multiLevelType w:val="hybridMultilevel"/>
    <w:lvl w:ilvl="0">
      <w:start w:val="1"/>
      <w:numFmt w:val="upperLetter"/>
      <w:lvlText w:val="(%1)"/>
      <w:pPr>
        <w:ind w:left="745"/>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5">
    <w:multiLevelType w:val="hybridMultilevel"/>
    <w:lvl w:ilvl="0">
      <w:start w:val="1"/>
      <w:numFmt w:val="upperLetter"/>
      <w:lvlText w:val="(%1)"/>
      <w:pPr>
        <w:ind w:left="718"/>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6">
    <w:multiLevelType w:val="hybridMultilevel"/>
    <w:lvl w:ilvl="0">
      <w:start w:val="1"/>
      <w:numFmt w:val="upperLetter"/>
      <w:lvlText w:val="(%1)"/>
      <w:pPr>
        <w:ind w:left="758"/>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7">
    <w:multiLevelType w:val="hybridMultilevel"/>
    <w:lvl w:ilvl="0">
      <w:start w:val="1"/>
      <w:numFmt w:val="upperLetter"/>
      <w:lvlText w:val="(%1)"/>
      <w:pPr>
        <w:ind w:left="355"/>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8">
    <w:multiLevelType w:val="hybridMultilevel"/>
    <w:lvl w:ilvl="0">
      <w:start w:val="1"/>
      <w:numFmt w:val="lowerLetter"/>
      <w:lvlText w:val="(%1)"/>
      <w:pPr>
        <w:ind w:left="1628"/>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2347"/>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3067"/>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3787"/>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4507"/>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5227"/>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947"/>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6667"/>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7387"/>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9">
    <w:multiLevelType w:val="hybridMultilevel"/>
    <w:lvl w:ilvl="0">
      <w:start w:val="1"/>
      <w:numFmt w:val="upperLetter"/>
      <w:lvlText w:val="(%1)"/>
      <w:pPr>
        <w:ind w:left="745"/>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10">
    <w:multiLevelType w:val="hybridMultilevel"/>
    <w:lvl w:ilvl="0">
      <w:start w:val="1"/>
      <w:numFmt w:val="upperLetter"/>
      <w:lvlText w:val="(%1)"/>
      <w:pPr>
        <w:ind w:left="355"/>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decimal"/>
      <w:lvlText w:val="(%2)"/>
      <w:pPr>
        <w:ind w:left="73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Letter"/>
      <w:lvlText w:val="(%3)"/>
      <w:pPr>
        <w:ind w:left="813"/>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34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06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378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450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22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594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11">
    <w:multiLevelType w:val="hybridMultilevel"/>
    <w:lvl w:ilvl="0">
      <w:start w:val="1"/>
      <w:numFmt w:val="decimal"/>
      <w:lvlText w:val="%1"/>
      <w:pPr>
        <w:ind w:left="360"/>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decimal"/>
      <w:lvlText w:val="(%2)"/>
      <w:pPr>
        <w:ind w:left="73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12">
    <w:multiLevelType w:val="hybridMultilevel"/>
    <w:lvl w:ilvl="0">
      <w:start w:val="6"/>
      <w:numFmt w:val="upperLetter"/>
      <w:lvlText w:val="(%1)"/>
      <w:pPr>
        <w:ind w:left="355"/>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13">
    <w:multiLevelType w:val="hybridMultilevel"/>
    <w:lvl w:ilvl="0">
      <w:start w:val="1"/>
      <w:numFmt w:val="upperLetter"/>
      <w:lvlText w:val="(%1)"/>
      <w:pPr>
        <w:ind w:left="718"/>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decimal"/>
      <w:lvlText w:val="(%2)"/>
      <w:pPr>
        <w:ind w:left="73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180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52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24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396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468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40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12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14">
    <w:multiLevelType w:val="hybridMultilevel"/>
    <w:lvl w:ilvl="0">
      <w:start w:val="1"/>
      <w:numFmt w:val="upperLetter"/>
      <w:lvlText w:val="(%1)"/>
      <w:pPr>
        <w:ind w:left="355"/>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15">
    <w:multiLevelType w:val="hybridMultilevel"/>
    <w:lvl w:ilvl="0">
      <w:start w:val="1"/>
      <w:numFmt w:val="upperLetter"/>
      <w:lvlText w:val="(%1)"/>
      <w:pPr>
        <w:ind w:left="355"/>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16">
    <w:multiLevelType w:val="hybridMultilevel"/>
    <w:lvl w:ilvl="0">
      <w:start w:val="1"/>
      <w:numFmt w:val="decimal"/>
      <w:lvlText w:val="(%1)"/>
      <w:pPr>
        <w:ind w:left="730"/>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180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252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324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96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468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40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612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84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17">
    <w:multiLevelType w:val="hybridMultilevel"/>
    <w:lvl w:ilvl="0">
      <w:start w:val="4"/>
      <w:numFmt w:val="upperLetter"/>
      <w:lvlText w:val="(%1)"/>
      <w:pPr>
        <w:ind w:left="355"/>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18">
    <w:multiLevelType w:val="hybridMultilevel"/>
    <w:lvl w:ilvl="0">
      <w:start w:val="1"/>
      <w:numFmt w:val="upperLetter"/>
      <w:lvlText w:val="(%1)"/>
      <w:pPr>
        <w:ind w:left="745"/>
      </w:pPr>
      <w:rPr>
        <w:rFonts w:cs="Arial" w:hAnsi="Arial" w:eastAsia="Arial" w:ascii="Arial"/>
        <w:b w:val="0"/>
        <w:i w:val="0"/>
        <w:strike w:val="0"/>
        <w:dstrike w:val="0"/>
        <w:color w:val="000000"/>
        <w:sz w:val="24"/>
        <w:szCs w:val="24"/>
        <w:u w:val="none" w:color="000000"/>
        <w:bdr w:val="none"/>
        <w:shd w:val="clear"/>
        <w:vertAlign w:val="baseline"/>
      </w:rPr>
    </w:lvl>
    <w:lvl w:ilvl="1">
      <w:start w:val="1"/>
      <w:numFmt w:val="lowerLetter"/>
      <w:lvlText w:val="%2"/>
      <w:pPr>
        <w:ind w:left="1440"/>
      </w:pPr>
      <w:rPr>
        <w:rFonts w:cs="Arial" w:hAnsi="Arial" w:eastAsia="Arial" w:ascii="Arial"/>
        <w:b w:val="0"/>
        <w:i w:val="0"/>
        <w:strike w:val="0"/>
        <w:dstrike w:val="0"/>
        <w:color w:val="000000"/>
        <w:sz w:val="24"/>
        <w:szCs w:val="24"/>
        <w:u w:val="none" w:color="000000"/>
        <w:bdr w:val="none"/>
        <w:shd w:val="clear"/>
        <w:vertAlign w:val="baseline"/>
      </w:rPr>
    </w:lvl>
    <w:lvl w:ilvl="2">
      <w:start w:val="1"/>
      <w:numFmt w:val="lowerRoman"/>
      <w:lvlText w:val="%3"/>
      <w:pPr>
        <w:ind w:left="2160"/>
      </w:pPr>
      <w:rPr>
        <w:rFonts w:cs="Arial" w:hAnsi="Arial" w:eastAsia="Arial" w:ascii="Arial"/>
        <w:b w:val="0"/>
        <w:i w:val="0"/>
        <w:strike w:val="0"/>
        <w:dstrike w:val="0"/>
        <w:color w:val="000000"/>
        <w:sz w:val="24"/>
        <w:szCs w:val="24"/>
        <w:u w:val="none" w:color="000000"/>
        <w:bdr w:val="none"/>
        <w:shd w:val="clear"/>
        <w:vertAlign w:val="baseline"/>
      </w:rPr>
    </w:lvl>
    <w:lvl w:ilvl="3">
      <w:start w:val="1"/>
      <w:numFmt w:val="decimal"/>
      <w:lvlText w:val="%4"/>
      <w:pPr>
        <w:ind w:left="2880"/>
      </w:pPr>
      <w:rPr>
        <w:rFonts w:cs="Arial" w:hAnsi="Arial" w:eastAsia="Arial" w:ascii="Arial"/>
        <w:b w:val="0"/>
        <w:i w:val="0"/>
        <w:strike w:val="0"/>
        <w:dstrike w:val="0"/>
        <w:color w:val="000000"/>
        <w:sz w:val="24"/>
        <w:szCs w:val="24"/>
        <w:u w:val="none" w:color="000000"/>
        <w:bdr w:val="none"/>
        <w:shd w:val="clear"/>
        <w:vertAlign w:val="baseline"/>
      </w:rPr>
    </w:lvl>
    <w:lvl w:ilvl="4">
      <w:start w:val="1"/>
      <w:numFmt w:val="lowerLetter"/>
      <w:lvlText w:val="%5"/>
      <w:pPr>
        <w:ind w:left="3600"/>
      </w:pPr>
      <w:rPr>
        <w:rFonts w:cs="Arial" w:hAnsi="Arial" w:eastAsia="Arial" w:ascii="Arial"/>
        <w:b w:val="0"/>
        <w:i w:val="0"/>
        <w:strike w:val="0"/>
        <w:dstrike w:val="0"/>
        <w:color w:val="000000"/>
        <w:sz w:val="24"/>
        <w:szCs w:val="24"/>
        <w:u w:val="none" w:color="000000"/>
        <w:bdr w:val="none"/>
        <w:shd w:val="clear"/>
        <w:vertAlign w:val="baseline"/>
      </w:rPr>
    </w:lvl>
    <w:lvl w:ilvl="5">
      <w:start w:val="1"/>
      <w:numFmt w:val="lowerRoman"/>
      <w:lvlText w:val="%6"/>
      <w:pPr>
        <w:ind w:left="4320"/>
      </w:pPr>
      <w:rPr>
        <w:rFonts w:cs="Arial" w:hAnsi="Arial" w:eastAsia="Arial" w:ascii="Arial"/>
        <w:b w:val="0"/>
        <w:i w:val="0"/>
        <w:strike w:val="0"/>
        <w:dstrike w:val="0"/>
        <w:color w:val="000000"/>
        <w:sz w:val="24"/>
        <w:szCs w:val="24"/>
        <w:u w:val="none" w:color="000000"/>
        <w:bdr w:val="none"/>
        <w:shd w:val="clear"/>
        <w:vertAlign w:val="baseline"/>
      </w:rPr>
    </w:lvl>
    <w:lvl w:ilvl="6">
      <w:start w:val="1"/>
      <w:numFmt w:val="decimal"/>
      <w:lvlText w:val="%7"/>
      <w:pPr>
        <w:ind w:left="5040"/>
      </w:pPr>
      <w:rPr>
        <w:rFonts w:cs="Arial" w:hAnsi="Arial" w:eastAsia="Arial" w:ascii="Arial"/>
        <w:b w:val="0"/>
        <w:i w:val="0"/>
        <w:strike w:val="0"/>
        <w:dstrike w:val="0"/>
        <w:color w:val="000000"/>
        <w:sz w:val="24"/>
        <w:szCs w:val="24"/>
        <w:u w:val="none" w:color="000000"/>
        <w:bdr w:val="none"/>
        <w:shd w:val="clear"/>
        <w:vertAlign w:val="baseline"/>
      </w:rPr>
    </w:lvl>
    <w:lvl w:ilvl="7">
      <w:start w:val="1"/>
      <w:numFmt w:val="lowerLetter"/>
      <w:lvlText w:val="%8"/>
      <w:pPr>
        <w:ind w:left="5760"/>
      </w:pPr>
      <w:rPr>
        <w:rFonts w:cs="Arial" w:hAnsi="Arial" w:eastAsia="Arial" w:ascii="Arial"/>
        <w:b w:val="0"/>
        <w:i w:val="0"/>
        <w:strike w:val="0"/>
        <w:dstrike w:val="0"/>
        <w:color w:val="000000"/>
        <w:sz w:val="24"/>
        <w:szCs w:val="24"/>
        <w:u w:val="none" w:color="000000"/>
        <w:bdr w:val="none"/>
        <w:shd w:val="clear"/>
        <w:vertAlign w:val="baseline"/>
      </w:rPr>
    </w:lvl>
    <w:lvl w:ilvl="8">
      <w:start w:val="1"/>
      <w:numFmt w:val="lowerRoman"/>
      <w:lvlText w:val="%9"/>
      <w:pPr>
        <w:ind w:left="6480"/>
      </w:pPr>
      <w:rPr>
        <w:rFonts w:cs="Arial" w:hAnsi="Arial" w:eastAsia="Arial" w:ascii="Arial"/>
        <w:b w:val="0"/>
        <w:i w:val="0"/>
        <w:strike w:val="0"/>
        <w:dstrike w:val="0"/>
        <w:color w:val="000000"/>
        <w:sz w:val="24"/>
        <w:szCs w:val="24"/>
        <w:u w:val="none" w:color="000000"/>
        <w:bdr w:val="none"/>
        <w:shd w:val="clear"/>
        <w:vertAlign w:val="baseline"/>
      </w:rPr>
    </w:lvl>
  </w:abstractNum>
  <w:abstractNum w:abstractNumId="19">
    <w:multiLevelType w:val="hybridMultilevel"/>
    <w:lvl w:ilvl="0">
      <w:start w:val="1"/>
      <w:numFmt w:val="decimal"/>
      <w:pStyle w:val="heading1"/>
      <w:lvlText w:val="%1."/>
      <w:pPr>
        <w:ind w:left="0"/>
      </w:pPr>
      <w:rPr>
        <w:rFonts w:cs="Arial" w:hAnsi="Arial" w:eastAsia="Arial" w:ascii="Arial"/>
        <w:b w:val="1"/>
        <w:bCs/>
        <w:i w:val="0"/>
        <w:strike w:val="0"/>
        <w:dstrike w:val="0"/>
        <w:color w:val="000000"/>
        <w:sz w:val="24"/>
        <w:szCs w:val="24"/>
        <w:u w:val="none" w:color="000000"/>
        <w:bdr w:val="none"/>
        <w:shd w:val="clear"/>
        <w:vertAlign w:val="baseline"/>
      </w:rPr>
    </w:lvl>
    <w:lvl w:ilvl="1">
      <w:start w:val="1"/>
      <w:numFmt w:val="lowerLetter"/>
      <w:lvlText w:val="%2"/>
      <w:pPr>
        <w:ind w:left="1080"/>
      </w:pPr>
      <w:rPr>
        <w:rFonts w:cs="Arial" w:hAnsi="Arial" w:eastAsia="Arial" w:ascii="Arial"/>
        <w:b w:val="1"/>
        <w:bCs/>
        <w:i w:val="0"/>
        <w:strike w:val="0"/>
        <w:dstrike w:val="0"/>
        <w:color w:val="000000"/>
        <w:sz w:val="24"/>
        <w:szCs w:val="24"/>
        <w:u w:val="none" w:color="000000"/>
        <w:bdr w:val="none"/>
        <w:shd w:val="clear"/>
        <w:vertAlign w:val="baseline"/>
      </w:rPr>
    </w:lvl>
    <w:lvl w:ilvl="2">
      <w:start w:val="1"/>
      <w:numFmt w:val="lowerRoman"/>
      <w:lvlText w:val="%3"/>
      <w:pPr>
        <w:ind w:left="1800"/>
      </w:pPr>
      <w:rPr>
        <w:rFonts w:cs="Arial" w:hAnsi="Arial" w:eastAsia="Arial" w:ascii="Arial"/>
        <w:b w:val="1"/>
        <w:bCs/>
        <w:i w:val="0"/>
        <w:strike w:val="0"/>
        <w:dstrike w:val="0"/>
        <w:color w:val="000000"/>
        <w:sz w:val="24"/>
        <w:szCs w:val="24"/>
        <w:u w:val="none" w:color="000000"/>
        <w:bdr w:val="none"/>
        <w:shd w:val="clear"/>
        <w:vertAlign w:val="baseline"/>
      </w:rPr>
    </w:lvl>
    <w:lvl w:ilvl="3">
      <w:start w:val="1"/>
      <w:numFmt w:val="decimal"/>
      <w:lvlText w:val="%4"/>
      <w:pPr>
        <w:ind w:left="2520"/>
      </w:pPr>
      <w:rPr>
        <w:rFonts w:cs="Arial" w:hAnsi="Arial" w:eastAsia="Arial" w:ascii="Arial"/>
        <w:b w:val="1"/>
        <w:bCs/>
        <w:i w:val="0"/>
        <w:strike w:val="0"/>
        <w:dstrike w:val="0"/>
        <w:color w:val="000000"/>
        <w:sz w:val="24"/>
        <w:szCs w:val="24"/>
        <w:u w:val="none" w:color="000000"/>
        <w:bdr w:val="none"/>
        <w:shd w:val="clear"/>
        <w:vertAlign w:val="baseline"/>
      </w:rPr>
    </w:lvl>
    <w:lvl w:ilvl="4">
      <w:start w:val="1"/>
      <w:numFmt w:val="lowerLetter"/>
      <w:lvlText w:val="%5"/>
      <w:pPr>
        <w:ind w:left="3240"/>
      </w:pPr>
      <w:rPr>
        <w:rFonts w:cs="Arial" w:hAnsi="Arial" w:eastAsia="Arial" w:ascii="Arial"/>
        <w:b w:val="1"/>
        <w:bCs/>
        <w:i w:val="0"/>
        <w:strike w:val="0"/>
        <w:dstrike w:val="0"/>
        <w:color w:val="000000"/>
        <w:sz w:val="24"/>
        <w:szCs w:val="24"/>
        <w:u w:val="none" w:color="000000"/>
        <w:bdr w:val="none"/>
        <w:shd w:val="clear"/>
        <w:vertAlign w:val="baseline"/>
      </w:rPr>
    </w:lvl>
    <w:lvl w:ilvl="5">
      <w:start w:val="1"/>
      <w:numFmt w:val="lowerRoman"/>
      <w:lvlText w:val="%6"/>
      <w:pPr>
        <w:ind w:left="3960"/>
      </w:pPr>
      <w:rPr>
        <w:rFonts w:cs="Arial" w:hAnsi="Arial" w:eastAsia="Arial" w:ascii="Arial"/>
        <w:b w:val="1"/>
        <w:bCs/>
        <w:i w:val="0"/>
        <w:strike w:val="0"/>
        <w:dstrike w:val="0"/>
        <w:color w:val="000000"/>
        <w:sz w:val="24"/>
        <w:szCs w:val="24"/>
        <w:u w:val="none" w:color="000000"/>
        <w:bdr w:val="none"/>
        <w:shd w:val="clear"/>
        <w:vertAlign w:val="baseline"/>
      </w:rPr>
    </w:lvl>
    <w:lvl w:ilvl="6">
      <w:start w:val="1"/>
      <w:numFmt w:val="decimal"/>
      <w:lvlText w:val="%7"/>
      <w:pPr>
        <w:ind w:left="4680"/>
      </w:pPr>
      <w:rPr>
        <w:rFonts w:cs="Arial" w:hAnsi="Arial" w:eastAsia="Arial" w:ascii="Arial"/>
        <w:b w:val="1"/>
        <w:bCs/>
        <w:i w:val="0"/>
        <w:strike w:val="0"/>
        <w:dstrike w:val="0"/>
        <w:color w:val="000000"/>
        <w:sz w:val="24"/>
        <w:szCs w:val="24"/>
        <w:u w:val="none" w:color="000000"/>
        <w:bdr w:val="none"/>
        <w:shd w:val="clear"/>
        <w:vertAlign w:val="baseline"/>
      </w:rPr>
    </w:lvl>
    <w:lvl w:ilvl="7">
      <w:start w:val="1"/>
      <w:numFmt w:val="lowerLetter"/>
      <w:lvlText w:val="%8"/>
      <w:pPr>
        <w:ind w:left="5400"/>
      </w:pPr>
      <w:rPr>
        <w:rFonts w:cs="Arial" w:hAnsi="Arial" w:eastAsia="Arial" w:ascii="Arial"/>
        <w:b w:val="1"/>
        <w:bCs/>
        <w:i w:val="0"/>
        <w:strike w:val="0"/>
        <w:dstrike w:val="0"/>
        <w:color w:val="000000"/>
        <w:sz w:val="24"/>
        <w:szCs w:val="24"/>
        <w:u w:val="none" w:color="000000"/>
        <w:bdr w:val="none"/>
        <w:shd w:val="clear"/>
        <w:vertAlign w:val="baseline"/>
      </w:rPr>
    </w:lvl>
    <w:lvl w:ilvl="8">
      <w:start w:val="1"/>
      <w:numFmt w:val="lowerRoman"/>
      <w:lvlText w:val="%9"/>
      <w:pPr>
        <w:ind w:left="6120"/>
      </w:pPr>
      <w:rPr>
        <w:rFonts w:cs="Arial" w:hAnsi="Arial" w:eastAsia="Arial" w:ascii="Arial"/>
        <w:b w:val="1"/>
        <w:bCs/>
        <w:i w:val="0"/>
        <w:strike w:val="0"/>
        <w:dstrike w:val="0"/>
        <w:color w:val="000000"/>
        <w:sz w:val="24"/>
        <w:szCs w:val="24"/>
        <w:u w:val="none" w:color="000000"/>
        <w:bdr w:val="none"/>
        <w:shd w:val="clear"/>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w14="http://schemas.microsoft.com/office/word/2010/wordml" xmlns:r="http://schemas.openxmlformats.org/officeDocument/2006/relationships" xmlns:w="http://schemas.openxmlformats.org/wordprocessingml/2006/main" mc:Ignorable="w14">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14="http://schemas.microsoft.com/office/word/2010/wordml" xmlns:w15="http://schemas.microsoft.com/office/word/2012/wordml" xmlns:w="http://schemas.openxmlformats.org/wordprocessingml/2006/main" mc:Ignorable="w14 w15">
  <w:style w:type="paragraph" w:styleId="normal" w:default="true">
    <w:name w:val="Normal"/>
    <w:qFormat/>
    <w:pPr>
      <w:bidi w:val="0"/>
      <w:spacing w:before="0" w:after="111" w:line="253" w:lineRule="auto"/>
      <w:ind w:left="10" w:right="0" w:hanging="10"/>
      <w:jc w:val="both"/>
    </w:pPr>
    <w:rPr>
      <w:rFonts w:cs="Arial" w:hAnsi="Arial" w:eastAsia="Arial" w:ascii="Arial"/>
      <w:color w:val="000000"/>
      <w:sz w:val="24"/>
    </w:rPr>
  </w:style>
  <w:style w:type="paragraph" w:styleId="heading2">
    <w:name w:val="Heading 2"/>
    <w:next w:val="normal"/>
    <w:link w:val="heading2Char"/>
    <w:uiPriority w:val="9"/>
    <w:unhideWhenUsed/>
    <w:qFormat/>
    <w:pPr>
      <w:keepNext/>
      <w:keepLines/>
      <w:bidi w:val="0"/>
      <w:spacing w:before="0" w:after="125" w:line="259" w:lineRule="auto"/>
      <w:ind w:left="10" w:right="0" w:hanging="10"/>
      <w:jc w:val="left"/>
      <w:outlineLvl w:val="1"/>
    </w:pPr>
    <w:rPr>
      <w:rFonts w:cs="Arial" w:hAnsi="Arial" w:eastAsia="Arial" w:ascii="Arial"/>
      <w:b w:val="1"/>
      <w:color w:val="000000"/>
      <w:sz w:val="24"/>
    </w:rPr>
  </w:style>
  <w:style w:type="character" w:styleId="heading2Char">
    <w:name w:val="Heading 2 Char"/>
    <w:link w:val="heading2"/>
    <w:rPr>
      <w:rFonts w:cs="Arial" w:hAnsi="Arial" w:eastAsia="Arial" w:ascii="Arial"/>
      <w:b w:val="1"/>
      <w:color w:val="000000"/>
      <w:sz w:val="24"/>
    </w:rPr>
  </w:style>
  <w:style w:type="paragraph" w:styleId="heading1">
    <w:name w:val="Heading 1"/>
    <w:next w:val="normal"/>
    <w:link w:val="heading1Char"/>
    <w:uiPriority w:val="9"/>
    <w:unhideWhenUsed/>
    <w:qFormat/>
    <w:pPr>
      <w:keepNext/>
      <w:keepLines/>
      <w:numPr>
        <w:ilvl w:val="0"/>
        <w:numId w:val="20"/>
      </w:numPr>
      <w:bidi w:val="0"/>
      <w:spacing w:before="0" w:after="125" w:line="259" w:lineRule="auto"/>
      <w:ind w:left="10" w:right="0" w:hanging="10"/>
      <w:jc w:val="left"/>
      <w:outlineLvl w:val="0"/>
    </w:pPr>
    <w:rPr>
      <w:rFonts w:cs="Arial" w:hAnsi="Arial" w:eastAsia="Arial" w:ascii="Arial"/>
      <w:b w:val="1"/>
      <w:color w:val="000000"/>
      <w:sz w:val="24"/>
    </w:rPr>
  </w:style>
  <w:style w:type="character" w:styleId="heading1Char">
    <w:name w:val="Heading 1 Char"/>
    <w:link w:val="heading1"/>
    <w:rPr>
      <w:rFonts w:cs="Arial" w:hAnsi="Arial" w:eastAsia="Arial" w:ascii="Arial"/>
      <w:b w:val="1"/>
      <w:color w:val="000000"/>
      <w:sz w:val="24"/>
    </w:rPr>
  </w:style>
  <w:style w:type="paragraph" w:styleId="TOC1">
    <w:name w:val="toc 1"/>
    <w:hidden/>
    <w:pPr>
      <w:bidi w:val="0"/>
      <w:spacing w:before="0" w:after="7" w:line="253" w:lineRule="auto"/>
      <w:ind w:left="25" w:right="23" w:hanging="10"/>
      <w:jc w:val="both"/>
    </w:pPr>
    <w:rPr>
      <w:rFonts w:cs="Arial" w:hAnsi="Arial" w:eastAsia="Arial" w:ascii="Arial"/>
      <w:color w:val="000000"/>
      <w:sz w:val="24"/>
    </w:rPr>
  </w:style>
  <w:style w:type="table" w:styleId="TableGrid">
    <w:name w:val="TableGrid"/>
    <w:pPr>
      <w:spacing w:lineRule="auto" w:line="240" w:after="0"/>
    </w:pPr>
  </w:style>
</w:styles>
</file>

<file path=word/_rels/document.xml.rels><?xml version="1.0" encoding="UTF-8"?><Relationships xmlns="http://schemas.openxmlformats.org/package/2006/relationships"><Relationship Target="footer3.xml" Id="rId3" Type="http://schemas.openxmlformats.org/officeDocument/2006/relationships/footer" /><Relationship Target="media/image0.jpg" Id="rId7" Type="http://schemas.openxmlformats.org/officeDocument/2006/relationships/image" /><Relationship Target="footer2.xml" Id="rId2" Type="http://schemas.openxmlformats.org/officeDocument/2006/relationships/footer" /><Relationship Target="footer4.xml" Id="rId4" Type="http://schemas.openxmlformats.org/officeDocument/2006/relationships/footer" /><Relationship Target="footer6.xml" Id="rId6" Type="http://schemas.openxmlformats.org/officeDocument/2006/relationships/footer" /><Relationship Target="footer1.xml" Id="rId1" Type="http://schemas.openxmlformats.org/officeDocument/2006/relationships/footer" /><Relationship Target="footer5.xml" Id="rId5" Type="http://schemas.openxmlformats.org/officeDocument/2006/relationships/footer" /><Relationship Target="numbering.xml" Id="rsNumberingId" Type="http://schemas.openxmlformats.org/officeDocument/2006/relationships/numbering" /><Relationship Target="/word/settings.xml" Id="rsSettingsId" Type="http://schemas.openxmlformats.org/officeDocument/2006/relationships/settings" /><Relationship Target="styles.xml" Id="rsStylesId" Type="http://schemas.openxmlformats.org/officeDocument/2006/relationships/styles" /></Relationships>
</file>

<file path=docProps/core.xml><?xml version="1.0" encoding="utf-8"?>
<cp:coreProperties xmlns:xsi="http://www.w3.org/2001/XMLSchema-instance" xmlns:dcmitype="http://purl.org/dc/dcmitype/" xmlns:dcterms="http://purl.org/dc/terms/" xmlns:dc="http://purl.org/dc/elements/1.1/" xmlns:cp="http://schemas.openxmlformats.org/package/2006/metadata/core-properties">
  <dc:creator>Actors' Equity Association</dc:creator>
  <dc:title>AEA New York City Showcase Rulebook 2018</dc:title>
  <dc:subject/>
  <cp:keywords/>
  <dcterms:created xsi:type="dcterms:W3CDTF">2025-05-26T00:06:01Z</dcterms:created>
  <dcterms:modified xsi:type="dcterms:W3CDTF">2025-05-26T00:06:01Z</dcterms:modified>
</cp:coreProperties>
</file>